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589"/>
        <w:tblW w:w="7839" w:type="dxa"/>
        <w:tblLayout w:type="fixed"/>
        <w:tblLook w:val="04A0" w:firstRow="1" w:lastRow="0" w:firstColumn="1" w:lastColumn="0" w:noHBand="0" w:noVBand="1"/>
      </w:tblPr>
      <w:tblGrid>
        <w:gridCol w:w="1657"/>
        <w:gridCol w:w="1460"/>
        <w:gridCol w:w="1460"/>
        <w:gridCol w:w="1631"/>
        <w:gridCol w:w="1631"/>
      </w:tblGrid>
      <w:tr w:rsidR="00AA1E77" w:rsidRPr="002E59CD" w:rsidTr="00AE5A09">
        <w:trPr>
          <w:trHeight w:val="1128"/>
        </w:trPr>
        <w:tc>
          <w:tcPr>
            <w:tcW w:w="1657" w:type="dxa"/>
          </w:tcPr>
          <w:p w:rsidR="00AA1E77" w:rsidRPr="00AE5A09" w:rsidRDefault="00AA1E77" w:rsidP="00AE5A09">
            <w:pPr>
              <w:rPr>
                <w:b/>
                <w:sz w:val="28"/>
                <w:szCs w:val="28"/>
              </w:rPr>
            </w:pPr>
            <w:bookmarkStart w:id="0" w:name="_Hlk134353130"/>
            <w:bookmarkStart w:id="1" w:name="_Hlk134354250"/>
            <w:bookmarkEnd w:id="1"/>
            <w:r w:rsidRPr="00AE5A09">
              <w:rPr>
                <w:b/>
                <w:sz w:val="28"/>
                <w:szCs w:val="28"/>
              </w:rPr>
              <w:t xml:space="preserve">FINANCIAL YEAR 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b/>
                <w:sz w:val="28"/>
                <w:szCs w:val="28"/>
              </w:rPr>
            </w:pPr>
            <w:r w:rsidRPr="00AE5A09">
              <w:rPr>
                <w:b/>
                <w:sz w:val="28"/>
                <w:szCs w:val="28"/>
              </w:rPr>
              <w:t>GROSS NPA (CRORE)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b/>
                <w:sz w:val="28"/>
                <w:szCs w:val="28"/>
              </w:rPr>
            </w:pPr>
            <w:r w:rsidRPr="00AE5A09">
              <w:rPr>
                <w:b/>
                <w:sz w:val="28"/>
                <w:szCs w:val="28"/>
              </w:rPr>
              <w:t>GROSS NPA (RATIO)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b/>
                <w:sz w:val="28"/>
                <w:szCs w:val="28"/>
              </w:rPr>
            </w:pPr>
            <w:r w:rsidRPr="00AE5A09">
              <w:rPr>
                <w:b/>
                <w:sz w:val="28"/>
                <w:szCs w:val="28"/>
              </w:rPr>
              <w:t>NET NPA (CRORE)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b/>
                <w:sz w:val="28"/>
                <w:szCs w:val="28"/>
              </w:rPr>
            </w:pPr>
            <w:r w:rsidRPr="00AE5A09">
              <w:rPr>
                <w:b/>
                <w:sz w:val="28"/>
                <w:szCs w:val="28"/>
              </w:rPr>
              <w:t>NET NPA (RATIO)</w:t>
            </w:r>
          </w:p>
        </w:tc>
      </w:tr>
      <w:tr w:rsidR="00AA1E77" w:rsidRPr="002E59CD" w:rsidTr="00AE5A09">
        <w:trPr>
          <w:trHeight w:val="556"/>
        </w:trPr>
        <w:tc>
          <w:tcPr>
            <w:tcW w:w="1657" w:type="dxa"/>
          </w:tcPr>
          <w:p w:rsidR="00AA1E77" w:rsidRPr="002E59CD" w:rsidRDefault="00AA1E77" w:rsidP="00AE5A09">
            <w:pPr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2016-17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112343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6.9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56277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3.71</w:t>
            </w:r>
          </w:p>
        </w:tc>
      </w:tr>
      <w:tr w:rsidR="00AA1E77" w:rsidRPr="002E59CD" w:rsidTr="00AE5A09">
        <w:trPr>
          <w:trHeight w:val="422"/>
        </w:trPr>
        <w:tc>
          <w:tcPr>
            <w:tcW w:w="1657" w:type="dxa"/>
          </w:tcPr>
          <w:p w:rsidR="00AA1E77" w:rsidRPr="002E59CD" w:rsidRDefault="00AA1E77" w:rsidP="00AE5A09">
            <w:pPr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2017-18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223427.46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10.91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110584.7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5.73</w:t>
            </w:r>
          </w:p>
        </w:tc>
      </w:tr>
      <w:tr w:rsidR="00AA1E77" w:rsidRPr="002E59CD" w:rsidTr="00AE5A09">
        <w:trPr>
          <w:trHeight w:val="415"/>
        </w:trPr>
        <w:tc>
          <w:tcPr>
            <w:tcW w:w="1657" w:type="dxa"/>
          </w:tcPr>
          <w:p w:rsidR="00AA1E77" w:rsidRPr="002E59CD" w:rsidRDefault="00AA1E77" w:rsidP="00AE5A09">
            <w:pPr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2018-19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172753.6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8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658947.4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3.01</w:t>
            </w:r>
          </w:p>
        </w:tc>
      </w:tr>
      <w:tr w:rsidR="00AA1E77" w:rsidRPr="002E59CD" w:rsidTr="00AE5A09">
        <w:trPr>
          <w:trHeight w:val="407"/>
        </w:trPr>
        <w:tc>
          <w:tcPr>
            <w:tcW w:w="1657" w:type="dxa"/>
          </w:tcPr>
          <w:p w:rsidR="00AA1E77" w:rsidRPr="002E59CD" w:rsidRDefault="00AA1E77" w:rsidP="00AE5A09">
            <w:pPr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2019-20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149091.85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6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51871.3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2.23</w:t>
            </w:r>
          </w:p>
        </w:tc>
      </w:tr>
      <w:tr w:rsidR="00AA1E77" w:rsidRPr="002E59CD" w:rsidTr="00AE5A09">
        <w:trPr>
          <w:trHeight w:val="569"/>
        </w:trPr>
        <w:tc>
          <w:tcPr>
            <w:tcW w:w="1657" w:type="dxa"/>
          </w:tcPr>
          <w:p w:rsidR="00AA1E77" w:rsidRPr="002E59CD" w:rsidRDefault="00AA1E77" w:rsidP="00AE5A09">
            <w:pPr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2020-21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126389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5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36809.72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1.5</w:t>
            </w:r>
          </w:p>
        </w:tc>
      </w:tr>
      <w:tr w:rsidR="00AA1E77" w:rsidRPr="002E59CD" w:rsidTr="00AE5A09">
        <w:trPr>
          <w:trHeight w:val="407"/>
        </w:trPr>
        <w:tc>
          <w:tcPr>
            <w:tcW w:w="1657" w:type="dxa"/>
          </w:tcPr>
          <w:p w:rsidR="00AA1E77" w:rsidRPr="002E59CD" w:rsidRDefault="00AA1E77" w:rsidP="00AE5A09">
            <w:pPr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2021-22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112023</w:t>
            </w:r>
          </w:p>
        </w:tc>
        <w:tc>
          <w:tcPr>
            <w:tcW w:w="1460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4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27965.71</w:t>
            </w:r>
          </w:p>
        </w:tc>
        <w:tc>
          <w:tcPr>
            <w:tcW w:w="1631" w:type="dxa"/>
          </w:tcPr>
          <w:p w:rsidR="00AA1E77" w:rsidRPr="00AE5A09" w:rsidRDefault="00AA1E77" w:rsidP="00AE5A09">
            <w:pPr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AE5A09">
              <w:rPr>
                <w:rFonts w:ascii="Times New Roman" w:eastAsia="Adobe Kaiti Std R" w:hAnsi="Times New Roman" w:cs="Times New Roman"/>
                <w:bCs/>
                <w:sz w:val="28"/>
              </w:rPr>
              <w:t>1.02</w:t>
            </w:r>
          </w:p>
        </w:tc>
      </w:tr>
    </w:tbl>
    <w:bookmarkEnd w:id="0"/>
    <w:p w:rsidR="00AE5A09" w:rsidRPr="003F318C" w:rsidRDefault="00AE5A09" w:rsidP="00AE5A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3F31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CHAPTER-3</w:t>
      </w:r>
    </w:p>
    <w:p w:rsidR="00AE5A09" w:rsidRDefault="00AE5A09" w:rsidP="00AE5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Presentation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Data Analysis and Findings</w:t>
      </w:r>
    </w:p>
    <w:p w:rsidR="003F318C" w:rsidRDefault="003F318C" w:rsidP="00AE5A09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F318C" w:rsidRDefault="003F318C" w:rsidP="00AE5A09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E5A09" w:rsidRPr="00AE5A09" w:rsidRDefault="00AE5A09" w:rsidP="00AE5A09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>TABLE:1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>GROSS NPA, GROSS NPA RATIO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of State Bank </w:t>
      </w:r>
      <w:r w:rsidR="0046370D">
        <w:rPr>
          <w:rFonts w:ascii="Times New Roman" w:hAnsi="Times New Roman" w:cs="Times New Roman"/>
          <w:b/>
          <w:color w:val="C00000"/>
          <w:sz w:val="24"/>
          <w:szCs w:val="24"/>
        </w:rPr>
        <w:t>o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>f India</w:t>
      </w:r>
    </w:p>
    <w:p w:rsidR="00AE5A09" w:rsidRDefault="00AE5A09" w:rsidP="00AE5A09">
      <w:pPr>
        <w:spacing w:after="0" w:line="240" w:lineRule="auto"/>
        <w:jc w:val="right"/>
      </w:pPr>
    </w:p>
    <w:p w:rsidR="00AE5A09" w:rsidRDefault="00AE5A09" w:rsidP="00AE5A09">
      <w:pPr>
        <w:spacing w:after="0" w:line="240" w:lineRule="auto"/>
        <w:jc w:val="right"/>
      </w:pPr>
    </w:p>
    <w:p w:rsidR="00AE5A09" w:rsidRDefault="00AE5A09" w:rsidP="00AE5A09">
      <w:pPr>
        <w:spacing w:after="0" w:line="240" w:lineRule="auto"/>
        <w:jc w:val="right"/>
      </w:pPr>
    </w:p>
    <w:p w:rsidR="00AE5A09" w:rsidRDefault="00AE5A09" w:rsidP="00AE5A09">
      <w:pPr>
        <w:spacing w:after="0" w:line="240" w:lineRule="auto"/>
        <w:jc w:val="right"/>
      </w:pPr>
    </w:p>
    <w:p w:rsidR="00AE5A09" w:rsidRDefault="00AE5A09" w:rsidP="00AE5A09">
      <w:pPr>
        <w:spacing w:after="0" w:line="240" w:lineRule="auto"/>
        <w:jc w:val="right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Default="00AE5A09" w:rsidP="00AE5A09">
      <w:pPr>
        <w:spacing w:after="0" w:line="240" w:lineRule="auto"/>
      </w:pPr>
    </w:p>
    <w:p w:rsidR="00AE5A09" w:rsidRPr="00AE5A09" w:rsidRDefault="00AE5A09" w:rsidP="00AE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09">
        <w:rPr>
          <w:rFonts w:ascii="Times New Roman" w:hAnsi="Times New Roman" w:cs="Times New Roman"/>
          <w:sz w:val="24"/>
          <w:szCs w:val="24"/>
        </w:rPr>
        <w:t>Source: Annual Reports of SBI</w:t>
      </w:r>
    </w:p>
    <w:p w:rsidR="008A6609" w:rsidRDefault="008A6609"/>
    <w:p w:rsidR="008A6609" w:rsidRDefault="008A6609" w:rsidP="00A82175">
      <w:r w:rsidRPr="002E59CD">
        <w:rPr>
          <w:noProof/>
        </w:rPr>
        <w:drawing>
          <wp:inline distT="0" distB="0" distL="0" distR="0" wp14:anchorId="50CFC033" wp14:editId="4D0D4243">
            <wp:extent cx="5486400" cy="3200400"/>
            <wp:effectExtent l="57150" t="0" r="38100" b="38100"/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1055" w:rsidRDefault="008A6609" w:rsidP="008B1055">
      <w:r w:rsidRPr="002E59CD">
        <w:rPr>
          <w:noProof/>
          <w:u w:val="double"/>
        </w:rPr>
        <w:lastRenderedPageBreak/>
        <w:drawing>
          <wp:inline distT="0" distB="0" distL="0" distR="0" wp14:anchorId="3204E00A" wp14:editId="0013AD1D">
            <wp:extent cx="5486400" cy="3200400"/>
            <wp:effectExtent l="57150" t="0" r="38100" b="38100"/>
            <wp:docPr id="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6288" w:rsidRDefault="00206288" w:rsidP="008B1055">
      <w:pPr>
        <w:rPr>
          <w:rFonts w:ascii="Times New Roman" w:hAnsi="Times New Roman" w:cs="Times New Roman"/>
          <w:b/>
          <w:sz w:val="28"/>
        </w:rPr>
      </w:pPr>
      <w:r w:rsidRPr="007D33DF">
        <w:rPr>
          <w:rFonts w:ascii="Times New Roman" w:hAnsi="Times New Roman" w:cs="Times New Roman"/>
          <w:b/>
          <w:sz w:val="28"/>
        </w:rPr>
        <w:t>INTERPREATION</w:t>
      </w:r>
      <w:r>
        <w:rPr>
          <w:rFonts w:ascii="Times New Roman" w:hAnsi="Times New Roman" w:cs="Times New Roman"/>
          <w:b/>
          <w:sz w:val="28"/>
        </w:rPr>
        <w:t>:</w:t>
      </w:r>
    </w:p>
    <w:p w:rsidR="00206288" w:rsidRDefault="00206288" w:rsidP="0020628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E59CD">
        <w:rPr>
          <w:rFonts w:ascii="Times New Roman" w:hAnsi="Times New Roman" w:cs="Times New Roman"/>
          <w:sz w:val="24"/>
        </w:rPr>
        <w:t>Gross NPA</w:t>
      </w:r>
      <w:r w:rsidR="0035213C">
        <w:rPr>
          <w:rFonts w:ascii="Times New Roman" w:hAnsi="Times New Roman" w:cs="Times New Roman"/>
          <w:sz w:val="24"/>
        </w:rPr>
        <w:t xml:space="preserve"> of SBI</w:t>
      </w:r>
      <w:r w:rsidRPr="002E59CD">
        <w:rPr>
          <w:rFonts w:ascii="Times New Roman" w:hAnsi="Times New Roman" w:cs="Times New Roman"/>
          <w:sz w:val="24"/>
        </w:rPr>
        <w:t xml:space="preserve"> is maximum in year 2017-2018</w:t>
      </w:r>
      <w:r>
        <w:rPr>
          <w:rFonts w:ascii="Times New Roman" w:hAnsi="Times New Roman" w:cs="Times New Roman"/>
          <w:sz w:val="24"/>
        </w:rPr>
        <w:t>. It is increasing from the year</w:t>
      </w:r>
      <w:r w:rsidRPr="002E59CD">
        <w:rPr>
          <w:rFonts w:ascii="Times New Roman" w:hAnsi="Times New Roman" w:cs="Times New Roman"/>
          <w:sz w:val="24"/>
        </w:rPr>
        <w:t xml:space="preserve"> till 2017 -2018 but from the year 2018-2019 is showing a downward trend in the year </w:t>
      </w:r>
      <w:r>
        <w:rPr>
          <w:rFonts w:ascii="Times New Roman" w:hAnsi="Times New Roman" w:cs="Times New Roman"/>
          <w:sz w:val="24"/>
        </w:rPr>
        <w:t xml:space="preserve">2020 to </w:t>
      </w:r>
      <w:r w:rsidRPr="002E59CD">
        <w:rPr>
          <w:rFonts w:ascii="Times New Roman" w:hAnsi="Times New Roman" w:cs="Times New Roman"/>
          <w:sz w:val="24"/>
        </w:rPr>
        <w:t>2022. Decreasing NPA is a sig</w:t>
      </w:r>
      <w:r>
        <w:rPr>
          <w:rFonts w:ascii="Times New Roman" w:hAnsi="Times New Roman" w:cs="Times New Roman"/>
          <w:sz w:val="24"/>
        </w:rPr>
        <w:t>n</w:t>
      </w:r>
      <w:r w:rsidRPr="002E59CD">
        <w:rPr>
          <w:rFonts w:ascii="Times New Roman" w:hAnsi="Times New Roman" w:cs="Times New Roman"/>
          <w:sz w:val="24"/>
        </w:rPr>
        <w:t xml:space="preserve"> of good management of stressed assets.</w:t>
      </w:r>
    </w:p>
    <w:p w:rsidR="00206288" w:rsidRDefault="00206288" w:rsidP="008B10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-30.1pt;margin-top:271.25pt;width:532.3pt;height:65.9pt;z-index:251662336" stroked="f">
            <v:textbox>
              <w:txbxContent>
                <w:p w:rsidR="00206288" w:rsidRPr="002E59CD" w:rsidRDefault="00206288" w:rsidP="002E59CD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="008A6609" w:rsidRPr="002E59CD">
        <w:rPr>
          <w:noProof/>
        </w:rPr>
        <w:drawing>
          <wp:inline distT="0" distB="0" distL="0" distR="0" wp14:anchorId="55A057E3" wp14:editId="035881A0">
            <wp:extent cx="5010150" cy="2910840"/>
            <wp:effectExtent l="57150" t="38100" r="38100" b="60960"/>
            <wp:docPr id="16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C0667" w:rsidRPr="002E59CD">
        <w:br w:type="page"/>
      </w:r>
    </w:p>
    <w:p w:rsidR="00C6388F" w:rsidRPr="002E59CD" w:rsidRDefault="00C23CBD" w:rsidP="008B1055">
      <w:r w:rsidRPr="002E59CD">
        <w:rPr>
          <w:noProof/>
        </w:rPr>
        <w:lastRenderedPageBreak/>
        <w:drawing>
          <wp:inline distT="0" distB="0" distL="0" distR="0">
            <wp:extent cx="5486400" cy="3200400"/>
            <wp:effectExtent l="57150" t="0" r="38100" b="3810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1058" w:rsidRPr="002E59CD" w:rsidRDefault="00000000" w:rsidP="00C6388F">
      <w:r>
        <w:rPr>
          <w:noProof/>
        </w:rPr>
        <w:pict>
          <v:shape id="_x0000_s2088" type="#_x0000_t202" style="position:absolute;margin-left:-19.7pt;margin-top:.45pt;width:195.4pt;height:30pt;z-index:251691008" stroked="f">
            <v:textbox>
              <w:txbxContent>
                <w:p w:rsidR="007D33DF" w:rsidRPr="007D33DF" w:rsidRDefault="007D33DF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D33DF">
                    <w:rPr>
                      <w:rFonts w:ascii="Times New Roman" w:hAnsi="Times New Roman" w:cs="Times New Roman"/>
                      <w:b/>
                      <w:sz w:val="28"/>
                    </w:rPr>
                    <w:t>INTERPREATION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D71058" w:rsidRPr="002E59CD" w:rsidRDefault="00000000">
      <w:r>
        <w:rPr>
          <w:noProof/>
        </w:rPr>
        <w:pict>
          <v:shape id="_x0000_s2059" type="#_x0000_t202" style="position:absolute;margin-left:-45.4pt;margin-top:9.3pt;width:554.55pt;height:70.7pt;z-index:251666432" stroked="f">
            <v:textbox>
              <w:txbxContent>
                <w:p w:rsidR="00D647AB" w:rsidRPr="00564C90" w:rsidRDefault="00D647AB" w:rsidP="00564C90">
                  <w:pPr>
                    <w:spacing w:line="360" w:lineRule="auto"/>
                    <w:jc w:val="both"/>
                    <w:rPr>
                      <w:rFonts w:ascii="Times New Roman" w:eastAsia="Adobe Kaiti Std R" w:hAnsi="Times New Roman" w:cs="Times New Roman"/>
                      <w:sz w:val="24"/>
                    </w:rPr>
                  </w:pP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>Net NPA</w:t>
                  </w:r>
                  <w:r w:rsidR="0035213C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 of SBI</w:t>
                  </w: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 is maximum in the year 2018-2019. But from</w:t>
                  </w:r>
                  <w:r w:rsidR="00206288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 </w:t>
                  </w: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2019-2020 </w:t>
                  </w:r>
                  <w:r w:rsidR="00206288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it </w:t>
                  </w: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has been showing a downward trend. Net NPA is the actual loss suffered by Bank and is noticed that almost 50% of all Gross NPA are </w:t>
                  </w:r>
                  <w:r w:rsidR="00206288"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>actu</w:t>
                  </w:r>
                  <w:r w:rsidR="00206288">
                    <w:rPr>
                      <w:rFonts w:ascii="Times New Roman" w:eastAsia="Adobe Kaiti Std R" w:hAnsi="Times New Roman" w:cs="Times New Roman"/>
                      <w:sz w:val="24"/>
                    </w:rPr>
                    <w:t>ally</w:t>
                  </w: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 turn</w:t>
                  </w:r>
                  <w:r w:rsidR="00206288">
                    <w:rPr>
                      <w:rFonts w:ascii="Times New Roman" w:eastAsia="Adobe Kaiti Std R" w:hAnsi="Times New Roman" w:cs="Times New Roman"/>
                      <w:sz w:val="24"/>
                    </w:rPr>
                    <w:t>ing</w:t>
                  </w: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 into Net NPA. Since Gross NPA is decreasing,</w:t>
                  </w:r>
                  <w:r w:rsidR="00206288">
                    <w:rPr>
                      <w:rFonts w:ascii="Times New Roman" w:eastAsia="Adobe Kaiti Std R" w:hAnsi="Times New Roman" w:cs="Times New Roman"/>
                      <w:sz w:val="24"/>
                    </w:rPr>
                    <w:t xml:space="preserve"> </w:t>
                  </w:r>
                  <w:r w:rsidRPr="00564C90">
                    <w:rPr>
                      <w:rFonts w:ascii="Times New Roman" w:eastAsia="Adobe Kaiti Std R" w:hAnsi="Times New Roman" w:cs="Times New Roman"/>
                      <w:sz w:val="24"/>
                    </w:rPr>
                    <w:t>the NPA is decreasing as well.</w:t>
                  </w:r>
                </w:p>
              </w:txbxContent>
            </v:textbox>
          </v:shape>
        </w:pict>
      </w:r>
      <w:r w:rsidR="00D71058" w:rsidRPr="002E59CD">
        <w:br w:type="page"/>
      </w:r>
    </w:p>
    <w:p w:rsidR="001100E9" w:rsidRPr="00AE5A09" w:rsidRDefault="001100E9" w:rsidP="002310F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TABLE: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GROSS NPA, GROSS NPA RATIO of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Canara Bank</w:t>
      </w:r>
    </w:p>
    <w:tbl>
      <w:tblPr>
        <w:tblStyle w:val="TableGrid"/>
        <w:tblpPr w:leftFromText="180" w:rightFromText="180" w:vertAnchor="page" w:horzAnchor="margin" w:tblpXSpec="center" w:tblpY="1993"/>
        <w:tblW w:w="8467" w:type="dxa"/>
        <w:tblLook w:val="04A0" w:firstRow="1" w:lastRow="0" w:firstColumn="1" w:lastColumn="0" w:noHBand="0" w:noVBand="1"/>
      </w:tblPr>
      <w:tblGrid>
        <w:gridCol w:w="1982"/>
        <w:gridCol w:w="1686"/>
        <w:gridCol w:w="1599"/>
        <w:gridCol w:w="1601"/>
        <w:gridCol w:w="1599"/>
      </w:tblGrid>
      <w:tr w:rsidR="001100E9" w:rsidRPr="002E59CD" w:rsidTr="002310FA">
        <w:trPr>
          <w:trHeight w:val="705"/>
        </w:trPr>
        <w:tc>
          <w:tcPr>
            <w:tcW w:w="1982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b/>
                <w:sz w:val="28"/>
                <w:szCs w:val="28"/>
              </w:rPr>
            </w:pPr>
            <w:r w:rsidRPr="0046370D">
              <w:rPr>
                <w:b/>
                <w:sz w:val="28"/>
                <w:szCs w:val="28"/>
              </w:rPr>
              <w:t>FINANCIAL YEAR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b/>
                <w:sz w:val="28"/>
                <w:szCs w:val="28"/>
              </w:rPr>
            </w:pPr>
            <w:r w:rsidRPr="0046370D">
              <w:rPr>
                <w:b/>
                <w:sz w:val="28"/>
                <w:szCs w:val="28"/>
              </w:rPr>
              <w:t>GROSS NPA</w:t>
            </w:r>
            <w:r w:rsidR="00B31DA3">
              <w:rPr>
                <w:b/>
                <w:sz w:val="28"/>
                <w:szCs w:val="28"/>
              </w:rPr>
              <w:t xml:space="preserve"> </w:t>
            </w:r>
            <w:r w:rsidRPr="0046370D">
              <w:rPr>
                <w:b/>
                <w:sz w:val="28"/>
                <w:szCs w:val="28"/>
              </w:rPr>
              <w:t>(CRORE)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b/>
                <w:sz w:val="28"/>
                <w:szCs w:val="28"/>
              </w:rPr>
            </w:pPr>
            <w:r w:rsidRPr="0046370D">
              <w:rPr>
                <w:b/>
                <w:sz w:val="28"/>
                <w:szCs w:val="28"/>
              </w:rPr>
              <w:t>GROSS NPA (RATIO)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b/>
                <w:sz w:val="28"/>
                <w:szCs w:val="28"/>
              </w:rPr>
            </w:pPr>
            <w:r w:rsidRPr="0046370D">
              <w:rPr>
                <w:b/>
                <w:sz w:val="28"/>
                <w:szCs w:val="28"/>
              </w:rPr>
              <w:t>NET NPA (CRORE)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b/>
                <w:sz w:val="28"/>
                <w:szCs w:val="28"/>
              </w:rPr>
            </w:pPr>
            <w:r w:rsidRPr="0046370D">
              <w:rPr>
                <w:b/>
                <w:sz w:val="28"/>
                <w:szCs w:val="28"/>
              </w:rPr>
              <w:t>NET NPA (RATIO)</w:t>
            </w:r>
          </w:p>
        </w:tc>
      </w:tr>
      <w:tr w:rsidR="001100E9" w:rsidRPr="002E59CD" w:rsidTr="002310FA">
        <w:trPr>
          <w:trHeight w:val="403"/>
        </w:trPr>
        <w:tc>
          <w:tcPr>
            <w:tcW w:w="1982" w:type="dxa"/>
          </w:tcPr>
          <w:p w:rsidR="001100E9" w:rsidRPr="002E59C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2016-2017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34202.04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9.63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21648.98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6.33</w:t>
            </w:r>
          </w:p>
        </w:tc>
      </w:tr>
      <w:tr w:rsidR="001100E9" w:rsidRPr="002E59CD" w:rsidTr="002310FA">
        <w:trPr>
          <w:trHeight w:val="566"/>
        </w:trPr>
        <w:tc>
          <w:tcPr>
            <w:tcW w:w="1982" w:type="dxa"/>
          </w:tcPr>
          <w:p w:rsidR="001100E9" w:rsidRPr="002E59C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2017-2018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47468.47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11.84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28542.40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7.48</w:t>
            </w:r>
          </w:p>
        </w:tc>
      </w:tr>
      <w:tr w:rsidR="001100E9" w:rsidRPr="002E59CD" w:rsidTr="002310FA">
        <w:trPr>
          <w:trHeight w:val="418"/>
        </w:trPr>
        <w:tc>
          <w:tcPr>
            <w:tcW w:w="1982" w:type="dxa"/>
          </w:tcPr>
          <w:p w:rsidR="001100E9" w:rsidRPr="002E59C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2018-2019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39224.12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8.83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22955.11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5.37</w:t>
            </w:r>
          </w:p>
        </w:tc>
      </w:tr>
      <w:tr w:rsidR="001100E9" w:rsidRPr="002E59CD" w:rsidTr="002310FA">
        <w:trPr>
          <w:trHeight w:val="551"/>
        </w:trPr>
        <w:tc>
          <w:tcPr>
            <w:tcW w:w="1982" w:type="dxa"/>
          </w:tcPr>
          <w:p w:rsidR="001100E9" w:rsidRPr="002E59C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2019-2020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37014.15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8.21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18250.95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4.22</w:t>
            </w:r>
          </w:p>
        </w:tc>
      </w:tr>
      <w:tr w:rsidR="001100E9" w:rsidRPr="002E59CD" w:rsidTr="002310FA">
        <w:trPr>
          <w:trHeight w:val="417"/>
        </w:trPr>
        <w:tc>
          <w:tcPr>
            <w:tcW w:w="1982" w:type="dxa"/>
          </w:tcPr>
          <w:p w:rsidR="001100E9" w:rsidRPr="002E59C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2020-2021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60287.84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8.93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24442.07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3.82</w:t>
            </w:r>
          </w:p>
        </w:tc>
      </w:tr>
      <w:tr w:rsidR="001100E9" w:rsidRPr="002E59CD" w:rsidTr="002310FA">
        <w:trPr>
          <w:trHeight w:val="550"/>
        </w:trPr>
        <w:tc>
          <w:tcPr>
            <w:tcW w:w="1982" w:type="dxa"/>
          </w:tcPr>
          <w:p w:rsidR="001100E9" w:rsidRPr="002E59C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/>
                <w:sz w:val="28"/>
              </w:rPr>
            </w:pPr>
            <w:r w:rsidRPr="002E59CD">
              <w:rPr>
                <w:rFonts w:ascii="Times New Roman" w:eastAsia="Adobe Kaiti Std R" w:hAnsi="Times New Roman" w:cs="Times New Roman"/>
                <w:b/>
                <w:sz w:val="28"/>
              </w:rPr>
              <w:t>2021-2022</w:t>
            </w:r>
          </w:p>
        </w:tc>
        <w:tc>
          <w:tcPr>
            <w:tcW w:w="1686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55651.58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7.51</w:t>
            </w:r>
          </w:p>
        </w:tc>
        <w:tc>
          <w:tcPr>
            <w:tcW w:w="1601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18668.02</w:t>
            </w:r>
          </w:p>
        </w:tc>
        <w:tc>
          <w:tcPr>
            <w:tcW w:w="1599" w:type="dxa"/>
          </w:tcPr>
          <w:p w:rsidR="001100E9" w:rsidRPr="0046370D" w:rsidRDefault="001100E9" w:rsidP="001100E9">
            <w:pPr>
              <w:tabs>
                <w:tab w:val="left" w:pos="3514"/>
              </w:tabs>
              <w:rPr>
                <w:rFonts w:ascii="Times New Roman" w:eastAsia="Adobe Kaiti Std R" w:hAnsi="Times New Roman" w:cs="Times New Roman"/>
                <w:bCs/>
                <w:sz w:val="28"/>
              </w:rPr>
            </w:pPr>
            <w:r w:rsidRPr="0046370D">
              <w:rPr>
                <w:rFonts w:ascii="Times New Roman" w:eastAsia="Adobe Kaiti Std R" w:hAnsi="Times New Roman" w:cs="Times New Roman"/>
                <w:bCs/>
                <w:sz w:val="28"/>
              </w:rPr>
              <w:t>2.65</w:t>
            </w:r>
          </w:p>
        </w:tc>
      </w:tr>
    </w:tbl>
    <w:p w:rsidR="002310FA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0FA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0FA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A09">
        <w:rPr>
          <w:rFonts w:ascii="Times New Roman" w:hAnsi="Times New Roman" w:cs="Times New Roman"/>
          <w:sz w:val="24"/>
          <w:szCs w:val="24"/>
        </w:rPr>
        <w:t xml:space="preserve">Source: Annual Reports of </w:t>
      </w:r>
      <w:r>
        <w:rPr>
          <w:rFonts w:ascii="Times New Roman" w:hAnsi="Times New Roman" w:cs="Times New Roman"/>
          <w:sz w:val="24"/>
          <w:szCs w:val="24"/>
        </w:rPr>
        <w:t>Canara Bank</w:t>
      </w:r>
    </w:p>
    <w:p w:rsidR="002310FA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0FA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0FA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0FA" w:rsidRPr="00AE5A09" w:rsidRDefault="002310FA" w:rsidP="0023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0FA" w:rsidRDefault="002310FA" w:rsidP="002310FA">
      <w:pPr>
        <w:tabs>
          <w:tab w:val="left" w:pos="1817"/>
        </w:tabs>
        <w:jc w:val="center"/>
        <w:rPr>
          <w:b/>
        </w:rPr>
      </w:pPr>
      <w:r w:rsidRPr="002E59CD">
        <w:rPr>
          <w:b/>
          <w:noProof/>
        </w:rPr>
        <w:drawing>
          <wp:inline distT="0" distB="0" distL="0" distR="0" wp14:anchorId="5AC5C6DB" wp14:editId="706AB498">
            <wp:extent cx="5741670" cy="3055620"/>
            <wp:effectExtent l="57150" t="38100" r="30480" b="49530"/>
            <wp:docPr id="6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5D00" w:rsidRDefault="00B31DA3" w:rsidP="00D44C91">
      <w:pPr>
        <w:tabs>
          <w:tab w:val="left" w:pos="1817"/>
        </w:tabs>
        <w:rPr>
          <w:b/>
        </w:rPr>
      </w:pPr>
      <w:r>
        <w:rPr>
          <w:b/>
          <w:noProof/>
        </w:rPr>
        <w:lastRenderedPageBreak/>
        <w:pict>
          <v:shape id="_x0000_s2082" type="#_x0000_t202" style="position:absolute;margin-left:180.35pt;margin-top:37pt;width:156pt;height:30pt;z-index:251685888" fillcolor="#95b3d7 [1940]" stroked="f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2082">
              <w:txbxContent>
                <w:p w:rsidR="008273A2" w:rsidRPr="008273A2" w:rsidRDefault="008273A2" w:rsidP="008273A2">
                  <w:pPr>
                    <w:jc w:val="both"/>
                    <w:rPr>
                      <w:b/>
                      <w:sz w:val="32"/>
                    </w:rPr>
                  </w:pPr>
                  <w:r w:rsidRPr="008273A2">
                    <w:rPr>
                      <w:b/>
                      <w:sz w:val="32"/>
                    </w:rPr>
                    <w:t>GROSS NPA RATIO</w:t>
                  </w:r>
                </w:p>
                <w:p w:rsidR="008273A2" w:rsidRDefault="008273A2"/>
              </w:txbxContent>
            </v:textbox>
          </v:shape>
        </w:pict>
      </w:r>
      <w:r w:rsidR="00000000">
        <w:rPr>
          <w:b/>
          <w:noProof/>
        </w:rPr>
        <w:pict>
          <v:shape id="_x0000_s2086" type="#_x0000_t202" style="position:absolute;margin-left:-14.55pt;margin-top:510.55pt;width:157.7pt;height:27.45pt;z-index:251688960" stroked="f">
            <v:textbox style="mso-next-textbox:#_x0000_s2086">
              <w:txbxContent>
                <w:p w:rsidR="00147FF8" w:rsidRPr="00147FF8" w:rsidRDefault="00147FF8" w:rsidP="00147FF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D44C91" w:rsidRPr="002E59CD">
        <w:rPr>
          <w:b/>
        </w:rPr>
        <w:tab/>
      </w:r>
      <w:r w:rsidR="008273A2" w:rsidRPr="002E59CD">
        <w:rPr>
          <w:b/>
          <w:noProof/>
        </w:rPr>
        <w:drawing>
          <wp:inline distT="0" distB="0" distL="0" distR="0">
            <wp:extent cx="5489121" cy="2982685"/>
            <wp:effectExtent l="19050" t="0" r="0" b="0"/>
            <wp:docPr id="5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31DA3" w:rsidRPr="002E59CD" w:rsidRDefault="00B31DA3" w:rsidP="00D44C91">
      <w:pPr>
        <w:tabs>
          <w:tab w:val="left" w:pos="1817"/>
        </w:tabs>
        <w:rPr>
          <w:b/>
        </w:rPr>
      </w:pPr>
    </w:p>
    <w:p w:rsidR="00B31DA3" w:rsidRDefault="00013425" w:rsidP="00B31DA3">
      <w:pPr>
        <w:rPr>
          <w:b/>
        </w:rPr>
      </w:pPr>
      <w:r>
        <w:rPr>
          <w:b/>
          <w:noProof/>
        </w:rPr>
        <w:pict>
          <v:shape id="_x0000_s2083" type="#_x0000_t202" style="position:absolute;margin-left:-37.65pt;margin-top:28.45pt;width:542.6pt;height:116.55pt;z-index:251686912" stroked="f">
            <v:textbox>
              <w:txbxContent>
                <w:p w:rsidR="008273A2" w:rsidRPr="00147FF8" w:rsidRDefault="00BC10DE" w:rsidP="00147FF8">
                  <w:pPr>
                    <w:spacing w:line="360" w:lineRule="auto"/>
                    <w:jc w:val="both"/>
                    <w:rPr>
                      <w:sz w:val="24"/>
                    </w:rPr>
                  </w:pPr>
                  <w:r w:rsidRPr="00147FF8">
                    <w:rPr>
                      <w:sz w:val="24"/>
                    </w:rPr>
                    <w:t>Gross NPA</w:t>
                  </w:r>
                  <w:r w:rsidR="0035213C">
                    <w:rPr>
                      <w:sz w:val="24"/>
                    </w:rPr>
                    <w:t xml:space="preserve"> of Canara Bank</w:t>
                  </w:r>
                  <w:r w:rsidRPr="00147FF8">
                    <w:rPr>
                      <w:sz w:val="24"/>
                    </w:rPr>
                    <w:t xml:space="preserve"> is fluctuating every year, in the year 2016-17 GROSS NPA is minimum </w:t>
                  </w:r>
                  <w:r w:rsidR="00932AB1" w:rsidRPr="00147FF8">
                    <w:rPr>
                      <w:sz w:val="24"/>
                    </w:rPr>
                    <w:t xml:space="preserve">and in the year 2020-21 GROSS NPA is higher and </w:t>
                  </w:r>
                  <w:r w:rsidR="00013425" w:rsidRPr="00147FF8">
                    <w:rPr>
                      <w:sz w:val="24"/>
                    </w:rPr>
                    <w:t>also,</w:t>
                  </w:r>
                  <w:r w:rsidR="00932AB1" w:rsidRPr="00147FF8">
                    <w:rPr>
                      <w:sz w:val="24"/>
                    </w:rPr>
                    <w:t xml:space="preserve"> we see that the GROSS NPA RATIO is maximum in the year of </w:t>
                  </w:r>
                  <w:r w:rsidR="00147FF8" w:rsidRPr="00147FF8">
                    <w:rPr>
                      <w:sz w:val="24"/>
                    </w:rPr>
                    <w:t xml:space="preserve">2017-18. </w:t>
                  </w:r>
                  <w:r w:rsidR="00013425" w:rsidRPr="00147FF8">
                    <w:rPr>
                      <w:sz w:val="24"/>
                    </w:rPr>
                    <w:t>But from</w:t>
                  </w:r>
                  <w:r w:rsidR="00147FF8" w:rsidRPr="00147FF8">
                    <w:rPr>
                      <w:sz w:val="24"/>
                    </w:rPr>
                    <w:t xml:space="preserve"> 2018-19</w:t>
                  </w:r>
                  <w:r w:rsidR="00013425">
                    <w:rPr>
                      <w:sz w:val="24"/>
                    </w:rPr>
                    <w:t xml:space="preserve"> </w:t>
                  </w:r>
                  <w:r w:rsidR="00147FF8" w:rsidRPr="00147FF8">
                    <w:rPr>
                      <w:sz w:val="24"/>
                    </w:rPr>
                    <w:t xml:space="preserve">it has downward trend and again it </w:t>
                  </w:r>
                  <w:r w:rsidR="00013425">
                    <w:rPr>
                      <w:sz w:val="24"/>
                    </w:rPr>
                    <w:t>has</w:t>
                  </w:r>
                  <w:r w:rsidR="00147FF8" w:rsidRPr="00147FF8">
                    <w:rPr>
                      <w:sz w:val="24"/>
                    </w:rPr>
                    <w:t xml:space="preserve"> increases in the year of   2020-21. </w:t>
                  </w:r>
                  <w:r w:rsidR="00E15423">
                    <w:rPr>
                      <w:sz w:val="24"/>
                    </w:rPr>
                    <w:t>Again,</w:t>
                  </w:r>
                  <w:r w:rsidR="00013425">
                    <w:rPr>
                      <w:sz w:val="24"/>
                    </w:rPr>
                    <w:t xml:space="preserve"> shows a d</w:t>
                  </w:r>
                  <w:r w:rsidR="00147FF8" w:rsidRPr="00147FF8">
                    <w:rPr>
                      <w:sz w:val="24"/>
                    </w:rPr>
                    <w:t>ownward</w:t>
                  </w:r>
                  <w:r w:rsidR="00013425">
                    <w:rPr>
                      <w:sz w:val="24"/>
                    </w:rPr>
                    <w:t xml:space="preserve"> trend</w:t>
                  </w:r>
                  <w:r w:rsidR="00147FF8" w:rsidRPr="00147FF8">
                    <w:rPr>
                      <w:sz w:val="24"/>
                    </w:rPr>
                    <w:t xml:space="preserve"> in 2021-22. </w:t>
                  </w:r>
                  <w:r w:rsidR="00147FF8">
                    <w:rPr>
                      <w:sz w:val="24"/>
                    </w:rPr>
                    <w:t>NPA ratio and GROSS NPA</w:t>
                  </w:r>
                  <w:r w:rsidR="00147FF8" w:rsidRPr="00147FF8">
                    <w:rPr>
                      <w:sz w:val="24"/>
                    </w:rPr>
                    <w:t xml:space="preserve"> is fluctuating in every year. Decrease NPA is sig</w:t>
                  </w:r>
                  <w:r w:rsidR="00013425">
                    <w:rPr>
                      <w:sz w:val="24"/>
                    </w:rPr>
                    <w:t>n</w:t>
                  </w:r>
                  <w:r w:rsidR="00147FF8" w:rsidRPr="00147FF8">
                    <w:rPr>
                      <w:sz w:val="24"/>
                    </w:rPr>
                    <w:t xml:space="preserve"> of good management stressed assets.</w:t>
                  </w:r>
                </w:p>
              </w:txbxContent>
            </v:textbox>
          </v:shape>
        </w:pict>
      </w:r>
      <w:r w:rsidR="00B31DA3" w:rsidRPr="00147FF8">
        <w:rPr>
          <w:rFonts w:ascii="Times New Roman" w:hAnsi="Times New Roman" w:cs="Times New Roman"/>
          <w:b/>
          <w:sz w:val="28"/>
        </w:rPr>
        <w:t>INTERPREATION</w:t>
      </w:r>
      <w:r w:rsidR="00B31DA3">
        <w:rPr>
          <w:rFonts w:ascii="Times New Roman" w:hAnsi="Times New Roman" w:cs="Times New Roman"/>
          <w:b/>
          <w:sz w:val="28"/>
        </w:rPr>
        <w:t>:</w:t>
      </w:r>
    </w:p>
    <w:p w:rsidR="000B5D00" w:rsidRPr="002E59CD" w:rsidRDefault="000B5D00" w:rsidP="000B5D00">
      <w:pPr>
        <w:rPr>
          <w:b/>
        </w:rPr>
      </w:pPr>
    </w:p>
    <w:p w:rsidR="000B5D00" w:rsidRPr="002E59CD" w:rsidRDefault="000B5D00" w:rsidP="000B5D00">
      <w:pPr>
        <w:rPr>
          <w:b/>
        </w:rPr>
      </w:pPr>
    </w:p>
    <w:p w:rsidR="000B5D00" w:rsidRPr="002E59CD" w:rsidRDefault="000B5D00" w:rsidP="000B5D00">
      <w:pPr>
        <w:rPr>
          <w:b/>
        </w:rPr>
      </w:pPr>
    </w:p>
    <w:p w:rsidR="000B5D00" w:rsidRPr="002E59CD" w:rsidRDefault="00000000" w:rsidP="000B5D00">
      <w:pPr>
        <w:rPr>
          <w:b/>
        </w:rPr>
      </w:pPr>
      <w:r>
        <w:rPr>
          <w:b/>
          <w:noProof/>
        </w:rPr>
        <w:pict>
          <v:shape id="_x0000_s2068" type="#_x0000_t202" style="position:absolute;margin-left:6pt;margin-top:433.8pt;width:585.45pt;height:100.6pt;z-index:251674624" stroked="f">
            <v:textbox>
              <w:txbxContent>
                <w:p w:rsidR="00D647AB" w:rsidRDefault="00D647AB"/>
              </w:txbxContent>
            </v:textbox>
          </v:shape>
        </w:pict>
      </w:r>
    </w:p>
    <w:p w:rsidR="000B5D00" w:rsidRDefault="00000000" w:rsidP="000B5D00">
      <w:pPr>
        <w:rPr>
          <w:b/>
        </w:rPr>
      </w:pPr>
      <w:r>
        <w:rPr>
          <w:b/>
          <w:noProof/>
        </w:rPr>
        <w:pict>
          <v:shape id="_x0000_s2062" type="#_x0000_t202" style="position:absolute;margin-left:531.45pt;margin-top:1.6pt;width:268.25pt;height:64.3pt;z-index:251668480" stroked="f">
            <v:textbox style="mso-next-textbox:#_x0000_s2062">
              <w:txbxContent>
                <w:p w:rsidR="00D647AB" w:rsidRPr="0086220F" w:rsidRDefault="00D647AB">
                  <w:pPr>
                    <w:rPr>
                      <w:rFonts w:ascii="Algerian" w:eastAsia="Adobe Gothic Std B" w:hAnsi="Algerian"/>
                      <w:sz w:val="144"/>
                      <w:szCs w:val="144"/>
                    </w:rPr>
                  </w:pPr>
                  <w:r w:rsidRPr="0086220F">
                    <w:rPr>
                      <w:rFonts w:ascii="Algerian" w:eastAsia="Adobe Gothic Std B" w:hAnsi="Algerian"/>
                      <w:sz w:val="144"/>
                      <w:szCs w:val="144"/>
                    </w:rPr>
                    <w:t xml:space="preserve">     </w:t>
                  </w:r>
                  <w:r>
                    <w:rPr>
                      <w:rFonts w:ascii="Algerian" w:eastAsia="Adobe Gothic Std B" w:hAnsi="Algerian"/>
                      <w:sz w:val="32"/>
                      <w:szCs w:val="144"/>
                    </w:rPr>
                    <w:t xml:space="preserve"> </w:t>
                  </w:r>
                  <w:r w:rsidRPr="0086220F">
                    <w:rPr>
                      <w:rFonts w:ascii="Algerian" w:eastAsia="Adobe Gothic Std B" w:hAnsi="Algerian"/>
                      <w:sz w:val="144"/>
                      <w:szCs w:val="14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647AB" w:rsidRDefault="00D647AB">
                  <w:r>
                    <w:t xml:space="preserve">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647AB" w:rsidRDefault="00D647AB">
                  <w: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  <w:p w:rsidR="00D647AB" w:rsidRDefault="00D647AB"/>
              </w:txbxContent>
            </v:textbox>
          </v:shape>
        </w:pict>
      </w:r>
      <w:r>
        <w:rPr>
          <w:b/>
          <w:noProof/>
        </w:rPr>
        <w:pict>
          <v:shape id="_x0000_s2067" type="#_x0000_t202" style="position:absolute;margin-left:-5.15pt;margin-top:-56pt;width:248.55pt;height:73.7pt;z-index:251673600" stroked="f">
            <v:textbox>
              <w:txbxContent>
                <w:p w:rsidR="00D647AB" w:rsidRPr="00EB4DEA" w:rsidRDefault="00D647AB">
                  <w:pPr>
                    <w:rPr>
                      <w:b/>
                      <w:sz w:val="40"/>
                      <w:szCs w:val="32"/>
                      <w:u w:val="double"/>
                    </w:rPr>
                  </w:pPr>
                  <w:r w:rsidRPr="00EB4DEA">
                    <w:rPr>
                      <w:b/>
                      <w:sz w:val="40"/>
                      <w:szCs w:val="32"/>
                      <w:u w:val="double"/>
                    </w:rPr>
                    <w:t>TABLE .2</w:t>
                  </w:r>
                </w:p>
                <w:p w:rsidR="00D647AB" w:rsidRPr="00EB4DEA" w:rsidRDefault="00D647AB">
                  <w:pPr>
                    <w:rPr>
                      <w:b/>
                      <w:sz w:val="40"/>
                      <w:szCs w:val="32"/>
                    </w:rPr>
                  </w:pPr>
                  <w:r w:rsidRPr="00EB4DEA">
                    <w:rPr>
                      <w:b/>
                      <w:sz w:val="40"/>
                      <w:szCs w:val="32"/>
                    </w:rPr>
                    <w:t xml:space="preserve">NET </w:t>
                  </w:r>
                  <w:proofErr w:type="gramStart"/>
                  <w:r w:rsidRPr="00EB4DEA">
                    <w:rPr>
                      <w:b/>
                      <w:sz w:val="40"/>
                      <w:szCs w:val="32"/>
                    </w:rPr>
                    <w:t>NPA ,NET</w:t>
                  </w:r>
                  <w:proofErr w:type="gramEnd"/>
                  <w:r>
                    <w:rPr>
                      <w:b/>
                      <w:sz w:val="40"/>
                      <w:szCs w:val="32"/>
                    </w:rPr>
                    <w:t xml:space="preserve"> </w:t>
                  </w:r>
                  <w:r w:rsidRPr="00EB4DEA">
                    <w:rPr>
                      <w:b/>
                      <w:sz w:val="40"/>
                      <w:szCs w:val="32"/>
                    </w:rPr>
                    <w:t>NPA RATIO</w:t>
                  </w:r>
                </w:p>
              </w:txbxContent>
            </v:textbox>
          </v:shape>
        </w:pict>
      </w:r>
    </w:p>
    <w:p w:rsidR="00B31DA3" w:rsidRPr="00B31DA3" w:rsidRDefault="00B31DA3" w:rsidP="00B31DA3"/>
    <w:p w:rsidR="00B31DA3" w:rsidRPr="00147FF8" w:rsidRDefault="00B31DA3" w:rsidP="00B31DA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tab/>
      </w:r>
    </w:p>
    <w:p w:rsidR="00B31DA3" w:rsidRPr="00B31DA3" w:rsidRDefault="00B31DA3" w:rsidP="00B31DA3">
      <w:pPr>
        <w:tabs>
          <w:tab w:val="left" w:pos="936"/>
        </w:tabs>
      </w:pPr>
    </w:p>
    <w:p w:rsidR="000B5D00" w:rsidRPr="002E59CD" w:rsidRDefault="00D84D49" w:rsidP="000B5D00">
      <w:pPr>
        <w:rPr>
          <w:b/>
        </w:rPr>
      </w:pPr>
      <w:r w:rsidRPr="002E59CD">
        <w:rPr>
          <w:b/>
          <w:noProof/>
        </w:rPr>
        <w:lastRenderedPageBreak/>
        <w:drawing>
          <wp:inline distT="0" distB="0" distL="0" distR="0">
            <wp:extent cx="5350328" cy="3064329"/>
            <wp:effectExtent l="57150" t="0" r="40822" b="40821"/>
            <wp:docPr id="12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E59CD">
        <w:rPr>
          <w:b/>
          <w:noProof/>
        </w:rPr>
        <w:drawing>
          <wp:inline distT="0" distB="0" distL="0" distR="0">
            <wp:extent cx="5389880" cy="2797628"/>
            <wp:effectExtent l="57150" t="0" r="39370" b="40822"/>
            <wp:docPr id="10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B5D00" w:rsidRPr="002E59CD" w:rsidRDefault="00000000" w:rsidP="000B5D00">
      <w:pPr>
        <w:rPr>
          <w:b/>
        </w:rPr>
      </w:pPr>
      <w:r>
        <w:rPr>
          <w:b/>
          <w:noProof/>
        </w:rPr>
        <w:pict>
          <v:shape id="_x0000_s2087" type="#_x0000_t202" style="position:absolute;margin-left:1.7pt;margin-top:24.85pt;width:172.3pt;height:24pt;z-index:251689984" stroked="f">
            <v:textbox>
              <w:txbxContent>
                <w:p w:rsidR="00147FF8" w:rsidRPr="00147FF8" w:rsidRDefault="00147FF8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47FF8">
                    <w:rPr>
                      <w:rFonts w:ascii="Times New Roman" w:hAnsi="Times New Roman" w:cs="Times New Roman"/>
                      <w:b/>
                      <w:sz w:val="28"/>
                    </w:rPr>
                    <w:t>INTERPREATION</w:t>
                  </w:r>
                  <w:r w:rsidR="007D33DF">
                    <w:rPr>
                      <w:rFonts w:ascii="Times New Roman" w:hAnsi="Times New Roman" w:cs="Times New Roman"/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D84D49" w:rsidRPr="002E59CD" w:rsidRDefault="00D84D49" w:rsidP="000B5D00">
      <w:pPr>
        <w:rPr>
          <w:b/>
        </w:rPr>
      </w:pPr>
    </w:p>
    <w:p w:rsidR="00D84D49" w:rsidRPr="002E59CD" w:rsidRDefault="00000000">
      <w:pPr>
        <w:rPr>
          <w:b/>
        </w:rPr>
      </w:pPr>
      <w:r>
        <w:rPr>
          <w:b/>
          <w:noProof/>
        </w:rPr>
        <w:pict>
          <v:shape id="_x0000_s2075" type="#_x0000_t202" style="position:absolute;margin-left:-12.85pt;margin-top:7.4pt;width:507.4pt;height:92.55pt;z-index:251679744" stroked="f">
            <v:textbox style="mso-next-textbox:#_x0000_s2075">
              <w:txbxContent>
                <w:p w:rsidR="00D647AB" w:rsidRPr="00BB3BC2" w:rsidRDefault="00D647AB" w:rsidP="0035213C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BB3BC2">
                    <w:rPr>
                      <w:rFonts w:ascii="Times New Roman" w:hAnsi="Times New Roman" w:cs="Times New Roman"/>
                      <w:sz w:val="24"/>
                    </w:rPr>
                    <w:t>Net NPA</w:t>
                  </w:r>
                  <w:r w:rsidR="0035213C">
                    <w:rPr>
                      <w:rFonts w:ascii="Times New Roman" w:hAnsi="Times New Roman" w:cs="Times New Roman"/>
                      <w:sz w:val="24"/>
                    </w:rPr>
                    <w:t xml:space="preserve"> of Canara Bank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 xml:space="preserve"> is maximum in the year 2017-18. But from 2018-19 </w:t>
                  </w:r>
                  <w:r w:rsidR="0035213C">
                    <w:rPr>
                      <w:rFonts w:ascii="Times New Roman" w:hAnsi="Times New Roman" w:cs="Times New Roman"/>
                      <w:sz w:val="24"/>
                    </w:rPr>
                    <w:t xml:space="preserve">it 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>has show</w:t>
                  </w:r>
                  <w:r w:rsidR="0035213C">
                    <w:rPr>
                      <w:rFonts w:ascii="Times New Roman" w:hAnsi="Times New Roman" w:cs="Times New Roman"/>
                      <w:sz w:val="24"/>
                    </w:rPr>
                    <w:t xml:space="preserve">n a 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 xml:space="preserve">downward trend again increase in the year 2020-21 and also downward in the year of 2021-2022. Net NPA </w:t>
                  </w:r>
                  <w:r w:rsidR="006E6BF6">
                    <w:rPr>
                      <w:rFonts w:ascii="Times New Roman" w:hAnsi="Times New Roman" w:cs="Times New Roman"/>
                      <w:sz w:val="24"/>
                    </w:rPr>
                    <w:t>is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 xml:space="preserve"> fluctuating and the bank is noticed that the Net NPA Ratio is 50% of all Net </w:t>
                  </w:r>
                  <w:r w:rsidR="00E15423" w:rsidRPr="00BB3BC2">
                    <w:rPr>
                      <w:rFonts w:ascii="Times New Roman" w:hAnsi="Times New Roman" w:cs="Times New Roman"/>
                      <w:sz w:val="24"/>
                    </w:rPr>
                    <w:t>NPA.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 xml:space="preserve">  Since the Net NPA is </w:t>
                  </w:r>
                  <w:r w:rsidR="006E6BF6" w:rsidRPr="00BB3BC2">
                    <w:rPr>
                      <w:rFonts w:ascii="Times New Roman" w:hAnsi="Times New Roman" w:cs="Times New Roman"/>
                      <w:sz w:val="24"/>
                    </w:rPr>
                    <w:t>decreases,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 xml:space="preserve"> the ratio is </w:t>
                  </w:r>
                  <w:r w:rsidR="006E6BF6">
                    <w:rPr>
                      <w:rFonts w:ascii="Times New Roman" w:hAnsi="Times New Roman" w:cs="Times New Roman"/>
                      <w:sz w:val="24"/>
                    </w:rPr>
                    <w:t xml:space="preserve">also 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>decreas</w:t>
                  </w:r>
                  <w:r w:rsidR="006E6BF6">
                    <w:rPr>
                      <w:rFonts w:ascii="Times New Roman" w:hAnsi="Times New Roman" w:cs="Times New Roman"/>
                      <w:sz w:val="24"/>
                    </w:rPr>
                    <w:t>ing</w:t>
                  </w:r>
                  <w:r w:rsidRPr="00BB3BC2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D84D49" w:rsidRPr="002E59CD">
        <w:rPr>
          <w:b/>
        </w:rPr>
        <w:br w:type="page"/>
      </w:r>
    </w:p>
    <w:tbl>
      <w:tblPr>
        <w:tblStyle w:val="TableGrid"/>
        <w:tblW w:w="9885" w:type="dxa"/>
        <w:tblLook w:val="04A0" w:firstRow="1" w:lastRow="0" w:firstColumn="1" w:lastColumn="0" w:noHBand="0" w:noVBand="1"/>
      </w:tblPr>
      <w:tblGrid>
        <w:gridCol w:w="3085"/>
        <w:gridCol w:w="3505"/>
        <w:gridCol w:w="3295"/>
      </w:tblGrid>
      <w:tr w:rsidR="00D84D49" w:rsidRPr="002E59CD" w:rsidTr="00E15423">
        <w:trPr>
          <w:trHeight w:val="983"/>
        </w:trPr>
        <w:tc>
          <w:tcPr>
            <w:tcW w:w="3085" w:type="dxa"/>
          </w:tcPr>
          <w:p w:rsidR="00D84D49" w:rsidRPr="00E15423" w:rsidRDefault="00E15423" w:rsidP="00E1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FINANCIAL YEAR</w:t>
            </w:r>
          </w:p>
        </w:tc>
        <w:tc>
          <w:tcPr>
            <w:tcW w:w="3505" w:type="dxa"/>
          </w:tcPr>
          <w:p w:rsidR="00A5799B" w:rsidRPr="00E15423" w:rsidRDefault="00E15423" w:rsidP="00E1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t>ADVANCES OF SBI</w:t>
            </w:r>
          </w:p>
          <w:p w:rsidR="00D84D49" w:rsidRPr="00E15423" w:rsidRDefault="00A5799B" w:rsidP="00E1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t>(CRORE)</w:t>
            </w:r>
          </w:p>
        </w:tc>
        <w:tc>
          <w:tcPr>
            <w:tcW w:w="3295" w:type="dxa"/>
          </w:tcPr>
          <w:p w:rsidR="00D84D49" w:rsidRPr="00E15423" w:rsidRDefault="00E15423" w:rsidP="00E1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t>ADVANCES OF</w:t>
            </w:r>
            <w:r w:rsidR="00D84D49"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t>CANARA BANK</w:t>
            </w:r>
          </w:p>
          <w:p w:rsidR="00A5799B" w:rsidRPr="00E15423" w:rsidRDefault="00A5799B" w:rsidP="00E1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423">
              <w:rPr>
                <w:rFonts w:ascii="Times New Roman" w:hAnsi="Times New Roman" w:cs="Times New Roman"/>
                <w:b/>
                <w:sz w:val="28"/>
                <w:szCs w:val="28"/>
              </w:rPr>
              <w:t>(CRORE)</w:t>
            </w:r>
          </w:p>
        </w:tc>
      </w:tr>
      <w:tr w:rsidR="00D84D49" w:rsidRPr="002E59CD" w:rsidTr="00E15423">
        <w:trPr>
          <w:trHeight w:val="416"/>
        </w:trPr>
        <w:tc>
          <w:tcPr>
            <w:tcW w:w="3085" w:type="dxa"/>
          </w:tcPr>
          <w:p w:rsidR="00D84D49" w:rsidRPr="002E59CD" w:rsidRDefault="00D84D49" w:rsidP="000B5D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59CD">
              <w:rPr>
                <w:rFonts w:ascii="Times New Roman" w:hAnsi="Times New Roman" w:cs="Times New Roman"/>
                <w:b/>
                <w:sz w:val="28"/>
              </w:rPr>
              <w:t>2016-17</w:t>
            </w:r>
          </w:p>
        </w:tc>
        <w:tc>
          <w:tcPr>
            <w:tcW w:w="3505" w:type="dxa"/>
          </w:tcPr>
          <w:p w:rsidR="00D84D49" w:rsidRPr="00E15423" w:rsidRDefault="00A5799B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1571078</w:t>
            </w:r>
          </w:p>
        </w:tc>
        <w:tc>
          <w:tcPr>
            <w:tcW w:w="3295" w:type="dxa"/>
          </w:tcPr>
          <w:p w:rsidR="00D84D49" w:rsidRPr="00E15423" w:rsidRDefault="00313CF5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342008.76</w:t>
            </w:r>
          </w:p>
        </w:tc>
      </w:tr>
      <w:tr w:rsidR="00D84D49" w:rsidRPr="002E59CD" w:rsidTr="00E15423">
        <w:trPr>
          <w:trHeight w:val="563"/>
        </w:trPr>
        <w:tc>
          <w:tcPr>
            <w:tcW w:w="3085" w:type="dxa"/>
          </w:tcPr>
          <w:p w:rsidR="00D84D49" w:rsidRPr="002E59CD" w:rsidRDefault="00D84D49" w:rsidP="000B5D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59CD">
              <w:rPr>
                <w:rFonts w:ascii="Times New Roman" w:hAnsi="Times New Roman" w:cs="Times New Roman"/>
                <w:b/>
                <w:sz w:val="28"/>
              </w:rPr>
              <w:t>2017-18</w:t>
            </w:r>
          </w:p>
        </w:tc>
        <w:tc>
          <w:tcPr>
            <w:tcW w:w="3505" w:type="dxa"/>
          </w:tcPr>
          <w:p w:rsidR="00D84D49" w:rsidRPr="00E15423" w:rsidRDefault="00A5799B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1934880</w:t>
            </w:r>
          </w:p>
        </w:tc>
        <w:tc>
          <w:tcPr>
            <w:tcW w:w="3295" w:type="dxa"/>
          </w:tcPr>
          <w:p w:rsidR="00D84D49" w:rsidRPr="00E15423" w:rsidRDefault="00313CF5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381702.99</w:t>
            </w:r>
          </w:p>
        </w:tc>
      </w:tr>
      <w:tr w:rsidR="00D84D49" w:rsidRPr="002E59CD" w:rsidTr="00E15423">
        <w:trPr>
          <w:trHeight w:val="414"/>
        </w:trPr>
        <w:tc>
          <w:tcPr>
            <w:tcW w:w="3085" w:type="dxa"/>
          </w:tcPr>
          <w:p w:rsidR="00D84D49" w:rsidRPr="002E59CD" w:rsidRDefault="00D84D49" w:rsidP="000B5D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59CD">
              <w:rPr>
                <w:rFonts w:ascii="Times New Roman" w:hAnsi="Times New Roman" w:cs="Times New Roman"/>
                <w:b/>
                <w:sz w:val="28"/>
              </w:rPr>
              <w:t>2018-19</w:t>
            </w:r>
          </w:p>
        </w:tc>
        <w:tc>
          <w:tcPr>
            <w:tcW w:w="3505" w:type="dxa"/>
          </w:tcPr>
          <w:p w:rsidR="00D84D49" w:rsidRPr="00E15423" w:rsidRDefault="00A5799B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2185877</w:t>
            </w:r>
          </w:p>
        </w:tc>
        <w:tc>
          <w:tcPr>
            <w:tcW w:w="3295" w:type="dxa"/>
          </w:tcPr>
          <w:p w:rsidR="00D84D49" w:rsidRPr="00E15423" w:rsidRDefault="00313CF5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427727.27</w:t>
            </w:r>
          </w:p>
        </w:tc>
      </w:tr>
      <w:tr w:rsidR="00D84D49" w:rsidRPr="002E59CD" w:rsidTr="00E15423">
        <w:trPr>
          <w:trHeight w:val="406"/>
        </w:trPr>
        <w:tc>
          <w:tcPr>
            <w:tcW w:w="3085" w:type="dxa"/>
          </w:tcPr>
          <w:p w:rsidR="00D84D49" w:rsidRPr="002E59CD" w:rsidRDefault="00D84D49" w:rsidP="000B5D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59CD">
              <w:rPr>
                <w:rFonts w:ascii="Times New Roman" w:hAnsi="Times New Roman" w:cs="Times New Roman"/>
                <w:b/>
                <w:sz w:val="28"/>
              </w:rPr>
              <w:t>2019-20</w:t>
            </w:r>
          </w:p>
        </w:tc>
        <w:tc>
          <w:tcPr>
            <w:tcW w:w="3505" w:type="dxa"/>
          </w:tcPr>
          <w:p w:rsidR="00D84D49" w:rsidRPr="00E15423" w:rsidRDefault="00A5799B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2325290</w:t>
            </w:r>
          </w:p>
        </w:tc>
        <w:tc>
          <w:tcPr>
            <w:tcW w:w="3295" w:type="dxa"/>
          </w:tcPr>
          <w:p w:rsidR="00D84D49" w:rsidRPr="00E15423" w:rsidRDefault="00313CF5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432175.20</w:t>
            </w:r>
          </w:p>
        </w:tc>
      </w:tr>
      <w:tr w:rsidR="00D84D49" w:rsidRPr="002E59CD" w:rsidTr="00E15423">
        <w:trPr>
          <w:trHeight w:val="555"/>
        </w:trPr>
        <w:tc>
          <w:tcPr>
            <w:tcW w:w="3085" w:type="dxa"/>
          </w:tcPr>
          <w:p w:rsidR="00D84D49" w:rsidRPr="002E59CD" w:rsidRDefault="00D84D49" w:rsidP="000B5D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59CD">
              <w:rPr>
                <w:rFonts w:ascii="Times New Roman" w:hAnsi="Times New Roman" w:cs="Times New Roman"/>
                <w:b/>
                <w:sz w:val="28"/>
              </w:rPr>
              <w:t>2020-21</w:t>
            </w:r>
          </w:p>
        </w:tc>
        <w:tc>
          <w:tcPr>
            <w:tcW w:w="3505" w:type="dxa"/>
          </w:tcPr>
          <w:p w:rsidR="00D84D49" w:rsidRPr="00E15423" w:rsidRDefault="00A5799B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2449497.79</w:t>
            </w:r>
          </w:p>
        </w:tc>
        <w:tc>
          <w:tcPr>
            <w:tcW w:w="3295" w:type="dxa"/>
          </w:tcPr>
          <w:p w:rsidR="00D84D49" w:rsidRPr="00E15423" w:rsidRDefault="00313CF5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639048.99</w:t>
            </w:r>
          </w:p>
        </w:tc>
      </w:tr>
      <w:tr w:rsidR="00D84D49" w:rsidRPr="002E59CD" w:rsidTr="0035188C">
        <w:trPr>
          <w:trHeight w:val="421"/>
        </w:trPr>
        <w:tc>
          <w:tcPr>
            <w:tcW w:w="3085" w:type="dxa"/>
          </w:tcPr>
          <w:p w:rsidR="00D84D49" w:rsidRPr="002E59CD" w:rsidRDefault="00D84D49" w:rsidP="000B5D0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E59CD">
              <w:rPr>
                <w:rFonts w:ascii="Times New Roman" w:hAnsi="Times New Roman" w:cs="Times New Roman"/>
                <w:b/>
                <w:sz w:val="28"/>
              </w:rPr>
              <w:t>2021-22</w:t>
            </w:r>
          </w:p>
        </w:tc>
        <w:tc>
          <w:tcPr>
            <w:tcW w:w="3505" w:type="dxa"/>
          </w:tcPr>
          <w:p w:rsidR="00D84D49" w:rsidRPr="00E15423" w:rsidRDefault="00A5799B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2733966.59</w:t>
            </w:r>
          </w:p>
        </w:tc>
        <w:tc>
          <w:tcPr>
            <w:tcW w:w="3295" w:type="dxa"/>
          </w:tcPr>
          <w:p w:rsidR="00D84D49" w:rsidRPr="00E15423" w:rsidRDefault="00313CF5" w:rsidP="000B5D0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15423">
              <w:rPr>
                <w:rFonts w:ascii="Times New Roman" w:hAnsi="Times New Roman" w:cs="Times New Roman"/>
                <w:bCs/>
                <w:sz w:val="28"/>
              </w:rPr>
              <w:t>703601.82</w:t>
            </w:r>
          </w:p>
        </w:tc>
      </w:tr>
    </w:tbl>
    <w:p w:rsidR="009303D9" w:rsidRPr="00E15423" w:rsidRDefault="003B52BE" w:rsidP="000B5D00">
      <w:pPr>
        <w:rPr>
          <w:bCs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2101" type="#_x0000_t202" style="position:absolute;margin-left:10.7pt;margin-top:-224.55pt;width:441.6pt;height:32.6pt;z-index:251695104;mso-position-horizontal-relative:text;mso-position-vertical-relative:text" stroked="f">
            <v:textbox>
              <w:txbxContent>
                <w:p w:rsidR="003B52BE" w:rsidRPr="00AE5A09" w:rsidRDefault="003B52BE" w:rsidP="003B52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AE5A09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TABLE:</w:t>
                  </w:r>
                  <w:r w:rsidR="00222DE8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3</w:t>
                  </w:r>
                  <w:r w:rsidRPr="00AE5A09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 w:rsidR="009C21C8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Advances</w:t>
                  </w:r>
                  <w:r w:rsidRPr="00AE5A09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of </w:t>
                  </w:r>
                  <w:r w:rsidR="009C21C8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SBI &amp; 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Canara Bank</w:t>
                  </w:r>
                </w:p>
                <w:p w:rsidR="003B52BE" w:rsidRPr="007D33DF" w:rsidRDefault="003B52BE" w:rsidP="003B52BE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E15423" w:rsidRPr="00E15423">
        <w:rPr>
          <w:bCs/>
        </w:rPr>
        <w:t>Source: annual Reports of SBI and Canara Bank</w:t>
      </w:r>
    </w:p>
    <w:p w:rsidR="002E59CD" w:rsidRPr="002E59CD" w:rsidRDefault="00D953E4" w:rsidP="00B4459A">
      <w:pPr>
        <w:rPr>
          <w:b/>
        </w:rPr>
      </w:pPr>
      <w:r>
        <w:rPr>
          <w:b/>
          <w:noProof/>
        </w:rPr>
        <w:pict>
          <v:shape id="_x0000_s2090" type="#_x0000_t202" style="position:absolute;margin-left:-.1pt;margin-top:294.2pt;width:168pt;height:32.6pt;z-index:251693056" stroked="f">
            <v:textbox>
              <w:txbxContent>
                <w:p w:rsidR="007D33DF" w:rsidRPr="007D33DF" w:rsidRDefault="007D33DF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D33DF">
                    <w:rPr>
                      <w:rFonts w:ascii="Times New Roman" w:hAnsi="Times New Roman" w:cs="Times New Roman"/>
                      <w:b/>
                      <w:sz w:val="28"/>
                    </w:rPr>
                    <w:t>NTERPREATION:</w:t>
                  </w:r>
                </w:p>
              </w:txbxContent>
            </v:textbox>
          </v:shape>
        </w:pict>
      </w:r>
      <w:r w:rsidR="00000000">
        <w:rPr>
          <w:b/>
          <w:noProof/>
        </w:rPr>
        <w:pict>
          <v:shape id="_x0000_s2072" type="#_x0000_t202" style="position:absolute;margin-left:2in;margin-top:19.4pt;width:130.3pt;height:26.6pt;z-index:251678720" fillcolor="#4f81bd [3204]" stroked="f" strokecolor="#f2f2f2 [3041]" strokeweight="3pt">
            <v:shadow on="t" type="perspective" color="#243f60 [1604]" opacity=".5" offset="1pt" offset2="-1pt"/>
            <v:textbox style="mso-next-textbox:#_x0000_s2072">
              <w:txbxContent>
                <w:p w:rsidR="00D647AB" w:rsidRPr="00502584" w:rsidRDefault="00D647AB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502584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</w:t>
                  </w:r>
                  <w:r w:rsidRPr="00502584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ADVANCES</w:t>
                  </w:r>
                </w:p>
              </w:txbxContent>
            </v:textbox>
          </v:shape>
        </w:pict>
      </w:r>
      <w:r w:rsidR="00313CF5" w:rsidRPr="002E59CD">
        <w:rPr>
          <w:b/>
          <w:noProof/>
        </w:rPr>
        <w:drawing>
          <wp:inline distT="0" distB="0" distL="0" distR="0">
            <wp:extent cx="5238750" cy="3589020"/>
            <wp:effectExtent l="57150" t="38100" r="38100" b="4953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E59CD" w:rsidRPr="002E59CD" w:rsidRDefault="00000000" w:rsidP="00D953E4">
      <w:pPr>
        <w:rPr>
          <w:b/>
        </w:rPr>
      </w:pPr>
      <w:r>
        <w:rPr>
          <w:b/>
          <w:noProof/>
        </w:rPr>
        <w:pict>
          <v:shape id="_x0000_s2078" type="#_x0000_t202" style="position:absolute;margin-left:-38.55pt;margin-top:18.05pt;width:526.25pt;height:88.3pt;z-index:251681792" stroked="f">
            <v:textbox>
              <w:txbxContent>
                <w:p w:rsidR="00D647AB" w:rsidRPr="00193DBA" w:rsidRDefault="00D647AB" w:rsidP="00193DB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93DBA">
                    <w:rPr>
                      <w:rFonts w:ascii="Times New Roman" w:hAnsi="Times New Roman" w:cs="Times New Roman"/>
                      <w:sz w:val="24"/>
                    </w:rPr>
                    <w:t xml:space="preserve">             Here in the above chat, an upward trend of advances has been noticed. Every year, advances are </w:t>
                  </w:r>
                  <w:proofErr w:type="gramStart"/>
                  <w:r w:rsidRPr="00193DBA">
                    <w:rPr>
                      <w:rFonts w:ascii="Times New Roman" w:hAnsi="Times New Roman" w:cs="Times New Roman"/>
                      <w:sz w:val="24"/>
                    </w:rPr>
                    <w:t>increasing ,</w:t>
                  </w:r>
                  <w:proofErr w:type="gramEnd"/>
                  <w:r w:rsidRPr="00193DBA">
                    <w:rPr>
                      <w:rFonts w:ascii="Times New Roman" w:hAnsi="Times New Roman" w:cs="Times New Roman"/>
                      <w:sz w:val="24"/>
                    </w:rPr>
                    <w:t xml:space="preserve"> on an average of ………….    The maximum </w:t>
                  </w:r>
                  <w:proofErr w:type="gramStart"/>
                  <w:r w:rsidRPr="00193DBA">
                    <w:rPr>
                      <w:rFonts w:ascii="Times New Roman" w:hAnsi="Times New Roman" w:cs="Times New Roman"/>
                      <w:sz w:val="24"/>
                    </w:rPr>
                    <w:t>being  in</w:t>
                  </w:r>
                  <w:proofErr w:type="gramEnd"/>
                  <w:r w:rsidRPr="00193DBA">
                    <w:rPr>
                      <w:rFonts w:ascii="Times New Roman" w:hAnsi="Times New Roman" w:cs="Times New Roman"/>
                      <w:sz w:val="24"/>
                    </w:rPr>
                    <w:t xml:space="preserve"> the 2016-17. Increasing the </w:t>
                  </w:r>
                  <w:proofErr w:type="gramStart"/>
                  <w:r w:rsidRPr="00193DBA">
                    <w:rPr>
                      <w:rFonts w:ascii="Times New Roman" w:hAnsi="Times New Roman" w:cs="Times New Roman"/>
                      <w:sz w:val="24"/>
                    </w:rPr>
                    <w:t>advances  is</w:t>
                  </w:r>
                  <w:proofErr w:type="gramEnd"/>
                  <w:r w:rsidRPr="00193DBA">
                    <w:rPr>
                      <w:rFonts w:ascii="Times New Roman" w:hAnsi="Times New Roman" w:cs="Times New Roman"/>
                      <w:sz w:val="24"/>
                    </w:rPr>
                    <w:t xml:space="preserve"> a sing of an increase in economy activities .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Also we see that the advances of SBI is more than CANARA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BANK  every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year.</w:t>
                  </w:r>
                  <w:r w:rsidRPr="00193DBA">
                    <w:rPr>
                      <w:rFonts w:ascii="Times New Roman" w:hAnsi="Times New Roman" w:cs="Times New Roman"/>
                      <w:sz w:val="24"/>
                    </w:rPr>
                    <w:t xml:space="preserve">                        </w:t>
                  </w:r>
                </w:p>
              </w:txbxContent>
            </v:textbox>
          </v:shape>
        </w:pict>
      </w:r>
    </w:p>
    <w:p w:rsidR="002E59CD" w:rsidRPr="002E59CD" w:rsidRDefault="002E59CD" w:rsidP="002E59CD">
      <w:pPr>
        <w:rPr>
          <w:b/>
        </w:rPr>
      </w:pPr>
    </w:p>
    <w:p w:rsidR="002E59CD" w:rsidRPr="002E59CD" w:rsidRDefault="002E59CD" w:rsidP="002E59CD">
      <w:pPr>
        <w:rPr>
          <w:b/>
        </w:rPr>
      </w:pPr>
    </w:p>
    <w:p w:rsidR="002E59CD" w:rsidRPr="002E59CD" w:rsidRDefault="002E59CD" w:rsidP="002E59CD">
      <w:pPr>
        <w:rPr>
          <w:b/>
        </w:rPr>
      </w:pPr>
    </w:p>
    <w:p w:rsidR="002E59CD" w:rsidRPr="002E59CD" w:rsidRDefault="002E59CD" w:rsidP="002E59CD">
      <w:pPr>
        <w:ind w:firstLine="720"/>
        <w:rPr>
          <w:b/>
        </w:rPr>
      </w:pPr>
    </w:p>
    <w:p w:rsidR="002E59CD" w:rsidRPr="002E59CD" w:rsidRDefault="002E59CD">
      <w:pPr>
        <w:rPr>
          <w:b/>
        </w:rPr>
      </w:pPr>
      <w:r w:rsidRPr="002E59CD">
        <w:rPr>
          <w:b/>
        </w:rPr>
        <w:br w:type="page"/>
      </w:r>
    </w:p>
    <w:p w:rsidR="00D72C7C" w:rsidRPr="00AE5A09" w:rsidRDefault="00D72C7C" w:rsidP="00D72C7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TABLE: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Net Profit</w:t>
      </w:r>
      <w:r w:rsidRPr="00AE5A0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SBI &amp; Canara Bank</w:t>
      </w:r>
    </w:p>
    <w:tbl>
      <w:tblPr>
        <w:tblStyle w:val="TableGrid"/>
        <w:tblpPr w:leftFromText="180" w:rightFromText="180" w:vertAnchor="page" w:horzAnchor="margin" w:tblpY="2017"/>
        <w:tblW w:w="9678" w:type="dxa"/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D72C7C" w:rsidRPr="002E59CD" w:rsidTr="00D72C7C">
        <w:trPr>
          <w:trHeight w:val="982"/>
        </w:trPr>
        <w:tc>
          <w:tcPr>
            <w:tcW w:w="3226" w:type="dxa"/>
          </w:tcPr>
          <w:p w:rsidR="00D72C7C" w:rsidRPr="00D72C7C" w:rsidRDefault="00D72C7C" w:rsidP="00D7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C7C">
              <w:rPr>
                <w:rFonts w:ascii="Times New Roman" w:hAnsi="Times New Roman" w:cs="Times New Roman"/>
                <w:b/>
                <w:sz w:val="28"/>
                <w:szCs w:val="28"/>
              </w:rPr>
              <w:t>FINANCIAL YEAR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C7C">
              <w:rPr>
                <w:rFonts w:ascii="Times New Roman" w:hAnsi="Times New Roman" w:cs="Times New Roman"/>
                <w:b/>
                <w:sz w:val="28"/>
                <w:szCs w:val="28"/>
              </w:rPr>
              <w:t>NET PROFIT OF SBI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2C7C">
              <w:rPr>
                <w:rFonts w:ascii="Times New Roman" w:hAnsi="Times New Roman" w:cs="Times New Roman"/>
                <w:b/>
                <w:sz w:val="28"/>
                <w:szCs w:val="28"/>
              </w:rPr>
              <w:t>(CRORE)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C7C">
              <w:rPr>
                <w:rFonts w:ascii="Times New Roman" w:hAnsi="Times New Roman" w:cs="Times New Roman"/>
                <w:b/>
                <w:sz w:val="28"/>
                <w:szCs w:val="28"/>
              </w:rPr>
              <w:t>NET PROFIT OF CANARA BANK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2C7C">
              <w:rPr>
                <w:rFonts w:ascii="Times New Roman" w:hAnsi="Times New Roman" w:cs="Times New Roman"/>
                <w:b/>
                <w:sz w:val="28"/>
                <w:szCs w:val="28"/>
              </w:rPr>
              <w:t>(CRORE)</w:t>
            </w:r>
          </w:p>
        </w:tc>
      </w:tr>
      <w:tr w:rsidR="00D72C7C" w:rsidRPr="002E59CD" w:rsidTr="00D72C7C">
        <w:trPr>
          <w:trHeight w:val="417"/>
        </w:trPr>
        <w:tc>
          <w:tcPr>
            <w:tcW w:w="3226" w:type="dxa"/>
          </w:tcPr>
          <w:p w:rsidR="00D72C7C" w:rsidRPr="00D72C7C" w:rsidRDefault="00D72C7C" w:rsidP="00D72C7C">
            <w:pPr>
              <w:rPr>
                <w:b/>
                <w:sz w:val="24"/>
                <w:szCs w:val="24"/>
              </w:rPr>
            </w:pPr>
            <w:r w:rsidRPr="00D72C7C">
              <w:rPr>
                <w:b/>
                <w:sz w:val="24"/>
                <w:szCs w:val="24"/>
              </w:rPr>
              <w:t>2017-18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-6547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-4222.24</w:t>
            </w:r>
          </w:p>
        </w:tc>
      </w:tr>
      <w:tr w:rsidR="00D72C7C" w:rsidRPr="002E59CD" w:rsidTr="00D72C7C">
        <w:trPr>
          <w:trHeight w:val="355"/>
        </w:trPr>
        <w:tc>
          <w:tcPr>
            <w:tcW w:w="3226" w:type="dxa"/>
          </w:tcPr>
          <w:p w:rsidR="00D72C7C" w:rsidRPr="00D72C7C" w:rsidRDefault="00D72C7C" w:rsidP="00D72C7C">
            <w:pPr>
              <w:rPr>
                <w:b/>
                <w:sz w:val="24"/>
                <w:szCs w:val="24"/>
              </w:rPr>
            </w:pPr>
            <w:r w:rsidRPr="00D72C7C">
              <w:rPr>
                <w:b/>
                <w:sz w:val="24"/>
                <w:szCs w:val="24"/>
              </w:rPr>
              <w:t>2018-19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862.23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347.72</w:t>
            </w:r>
          </w:p>
        </w:tc>
      </w:tr>
      <w:tr w:rsidR="00D72C7C" w:rsidRPr="002E59CD" w:rsidTr="00D72C7C">
        <w:trPr>
          <w:trHeight w:val="470"/>
        </w:trPr>
        <w:tc>
          <w:tcPr>
            <w:tcW w:w="3226" w:type="dxa"/>
          </w:tcPr>
          <w:p w:rsidR="00D72C7C" w:rsidRPr="00D72C7C" w:rsidRDefault="00D72C7C" w:rsidP="00D72C7C">
            <w:pPr>
              <w:rPr>
                <w:b/>
                <w:sz w:val="24"/>
                <w:szCs w:val="24"/>
              </w:rPr>
            </w:pPr>
            <w:r w:rsidRPr="00D72C7C">
              <w:rPr>
                <w:b/>
                <w:sz w:val="24"/>
                <w:szCs w:val="24"/>
              </w:rPr>
              <w:t>2019-20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14488.11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-2235.72</w:t>
            </w:r>
          </w:p>
        </w:tc>
      </w:tr>
      <w:tr w:rsidR="00D72C7C" w:rsidRPr="002E59CD" w:rsidTr="00D72C7C">
        <w:trPr>
          <w:trHeight w:val="420"/>
        </w:trPr>
        <w:tc>
          <w:tcPr>
            <w:tcW w:w="3226" w:type="dxa"/>
          </w:tcPr>
          <w:p w:rsidR="00D72C7C" w:rsidRPr="00D72C7C" w:rsidRDefault="00D72C7C" w:rsidP="00D72C7C">
            <w:pPr>
              <w:rPr>
                <w:b/>
                <w:sz w:val="24"/>
                <w:szCs w:val="24"/>
              </w:rPr>
            </w:pPr>
            <w:r w:rsidRPr="00D72C7C">
              <w:rPr>
                <w:b/>
                <w:sz w:val="24"/>
                <w:szCs w:val="24"/>
              </w:rPr>
              <w:t>2020-21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20410.47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2557.58</w:t>
            </w:r>
          </w:p>
        </w:tc>
      </w:tr>
      <w:tr w:rsidR="00D72C7C" w:rsidRPr="002E59CD" w:rsidTr="00D72C7C">
        <w:trPr>
          <w:trHeight w:val="555"/>
        </w:trPr>
        <w:tc>
          <w:tcPr>
            <w:tcW w:w="3226" w:type="dxa"/>
          </w:tcPr>
          <w:p w:rsidR="00D72C7C" w:rsidRPr="00D72C7C" w:rsidRDefault="00D72C7C" w:rsidP="00D72C7C">
            <w:pPr>
              <w:rPr>
                <w:b/>
                <w:sz w:val="24"/>
                <w:szCs w:val="24"/>
              </w:rPr>
            </w:pPr>
            <w:r w:rsidRPr="00D72C7C">
              <w:rPr>
                <w:b/>
                <w:sz w:val="24"/>
                <w:szCs w:val="24"/>
              </w:rPr>
              <w:t>2021-22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31675.98</w:t>
            </w:r>
          </w:p>
        </w:tc>
        <w:tc>
          <w:tcPr>
            <w:tcW w:w="3226" w:type="dxa"/>
          </w:tcPr>
          <w:p w:rsidR="00D72C7C" w:rsidRPr="00D72C7C" w:rsidRDefault="00D72C7C" w:rsidP="00D72C7C">
            <w:pPr>
              <w:rPr>
                <w:bCs/>
                <w:sz w:val="24"/>
                <w:szCs w:val="24"/>
              </w:rPr>
            </w:pPr>
            <w:r w:rsidRPr="00D72C7C">
              <w:rPr>
                <w:bCs/>
                <w:sz w:val="24"/>
                <w:szCs w:val="24"/>
              </w:rPr>
              <w:t>5687.42</w:t>
            </w:r>
          </w:p>
        </w:tc>
      </w:tr>
    </w:tbl>
    <w:p w:rsidR="00D72C7C" w:rsidRPr="00E15423" w:rsidRDefault="00D72C7C" w:rsidP="00D72C7C">
      <w:pPr>
        <w:rPr>
          <w:bCs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2103" type="#_x0000_t202" style="position:absolute;margin-left:10.7pt;margin-top:-224.55pt;width:441.6pt;height:32.6pt;z-index:251697152;mso-position-horizontal-relative:text;mso-position-vertical-relative:text" stroked="f">
            <v:textbox>
              <w:txbxContent>
                <w:p w:rsidR="00D72C7C" w:rsidRPr="00AE5A09" w:rsidRDefault="00D72C7C" w:rsidP="00D72C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AE5A09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TABLE: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3</w:t>
                  </w:r>
                  <w:r w:rsidRPr="00AE5A09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Advances</w:t>
                  </w:r>
                  <w:r w:rsidRPr="00AE5A09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of </w:t>
                  </w:r>
                  <w:r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SBI &amp; Canara Bank</w:t>
                  </w:r>
                </w:p>
                <w:p w:rsidR="00D72C7C" w:rsidRPr="007D33DF" w:rsidRDefault="00D72C7C" w:rsidP="00D72C7C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Pr="00E15423">
        <w:rPr>
          <w:bCs/>
        </w:rPr>
        <w:t>Source: annual Reports of SBI and Canara Bank</w:t>
      </w:r>
    </w:p>
    <w:p w:rsidR="00193DBA" w:rsidRDefault="00D72C7C" w:rsidP="00D72C7C">
      <w:pPr>
        <w:ind w:firstLine="720"/>
        <w:jc w:val="center"/>
      </w:pPr>
      <w:r>
        <w:rPr>
          <w:noProof/>
        </w:rPr>
        <w:pict>
          <v:shape id="_x0000_s2091" type="#_x0000_t202" style="position:absolute;left:0;text-align:left;margin-left:-13.45pt;margin-top:286.2pt;width:174.85pt;height:31.7pt;z-index:251694080" stroked="f">
            <v:textbox>
              <w:txbxContent>
                <w:p w:rsidR="007D33DF" w:rsidRPr="007D33DF" w:rsidRDefault="007D33DF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D33DF">
                    <w:rPr>
                      <w:rFonts w:ascii="Times New Roman" w:hAnsi="Times New Roman" w:cs="Times New Roman"/>
                      <w:b/>
                      <w:sz w:val="28"/>
                    </w:rPr>
                    <w:t>INTERPREATION:</w:t>
                  </w:r>
                </w:p>
              </w:txbxContent>
            </v:textbox>
          </v:shape>
        </w:pict>
      </w:r>
      <w:r w:rsidR="00E403E9">
        <w:rPr>
          <w:noProof/>
        </w:rPr>
        <w:drawing>
          <wp:inline distT="0" distB="0" distL="0" distR="0">
            <wp:extent cx="5490210" cy="3530600"/>
            <wp:effectExtent l="57150" t="38100" r="34290" b="5080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2AB1" w:rsidRDefault="00000000">
      <w:r>
        <w:rPr>
          <w:noProof/>
        </w:rPr>
        <w:pict>
          <v:shape id="_x0000_s2079" type="#_x0000_t202" style="position:absolute;margin-left:-40.3pt;margin-top:15.95pt;width:546pt;height:141.4pt;z-index:251682816" stroked="f">
            <v:textbox>
              <w:txbxContent>
                <w:p w:rsidR="00D647AB" w:rsidRPr="00D46BDA" w:rsidRDefault="00D647AB" w:rsidP="008273A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6BDA">
                    <w:rPr>
                      <w:rFonts w:ascii="Times New Roman" w:hAnsi="Times New Roman" w:cs="Times New Roman"/>
                      <w:sz w:val="24"/>
                    </w:rPr>
                    <w:t>In the above Chart,</w:t>
                  </w:r>
                  <w:r w:rsidR="00A065E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it can be noticed in the year 2017-18, SBI and CANARA BANK had </w:t>
                  </w:r>
                  <w:r w:rsidRPr="00ED7B30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to incur loss and a big reason behind that can be seen an increasing trend in Net profit after the year 2018-19 to till 2021-22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. But CANARA BANK had again </w:t>
                  </w:r>
                  <w:r w:rsidR="00866BF8" w:rsidRPr="00D46BDA">
                    <w:rPr>
                      <w:rFonts w:ascii="Times New Roman" w:hAnsi="Times New Roman" w:cs="Times New Roman"/>
                      <w:sz w:val="24"/>
                    </w:rPr>
                    <w:t>incurred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 loss and written off in 2019-20.</w:t>
                  </w:r>
                  <w:r w:rsidR="00A065E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The profitability of </w:t>
                  </w:r>
                  <w:r w:rsidR="00866BF8" w:rsidRPr="00D46BDA">
                    <w:rPr>
                      <w:rFonts w:ascii="Times New Roman" w:hAnsi="Times New Roman" w:cs="Times New Roman"/>
                      <w:sz w:val="24"/>
                    </w:rPr>
                    <w:t>the banks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 was fairly good</w:t>
                  </w:r>
                  <w:r w:rsidR="00AB6163">
                    <w:rPr>
                      <w:rFonts w:ascii="Times New Roman" w:hAnsi="Times New Roman" w:cs="Times New Roman"/>
                      <w:sz w:val="24"/>
                    </w:rPr>
                    <w:t xml:space="preserve"> in the year 2020-21 &amp; 2021-22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.  </w:t>
                  </w:r>
                  <w:r w:rsidR="00A065EB">
                    <w:rPr>
                      <w:rFonts w:ascii="Times New Roman" w:hAnsi="Times New Roman" w:cs="Times New Roman"/>
                      <w:sz w:val="24"/>
                    </w:rPr>
                    <w:t>I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t is because of the innovation measure taken by SBI and CANARA BANK as well as the </w:t>
                  </w:r>
                  <w:r w:rsidR="00866BF8" w:rsidRPr="00D46BDA">
                    <w:rPr>
                      <w:rFonts w:ascii="Times New Roman" w:hAnsi="Times New Roman" w:cs="Times New Roman"/>
                      <w:sz w:val="24"/>
                    </w:rPr>
                    <w:t>RBI to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 better handle </w:t>
                  </w:r>
                  <w:r w:rsidR="00866BF8" w:rsidRPr="00D46BDA">
                    <w:rPr>
                      <w:rFonts w:ascii="Times New Roman" w:hAnsi="Times New Roman" w:cs="Times New Roman"/>
                      <w:sz w:val="24"/>
                    </w:rPr>
                    <w:t>NPA.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 xml:space="preserve"> SBI and CANARA BANK has been able to achieve this improvement due and higher Write </w:t>
                  </w:r>
                  <w:r w:rsidR="00A065EB">
                    <w:rPr>
                      <w:rFonts w:ascii="Times New Roman" w:hAnsi="Times New Roman" w:cs="Times New Roman"/>
                      <w:sz w:val="24"/>
                    </w:rPr>
                    <w:t>off</w:t>
                  </w:r>
                  <w:r w:rsidRPr="00D46BDA">
                    <w:rPr>
                      <w:rFonts w:ascii="Times New Roman" w:hAnsi="Times New Roman" w:cs="Times New Roman"/>
                      <w:sz w:val="24"/>
                    </w:rPr>
                    <w:t>s.</w:t>
                  </w:r>
                </w:p>
              </w:txbxContent>
            </v:textbox>
          </v:shape>
        </w:pict>
      </w:r>
    </w:p>
    <w:p w:rsidR="00932AB1" w:rsidRPr="00932AB1" w:rsidRDefault="00932AB1" w:rsidP="00932AB1"/>
    <w:p w:rsidR="00932AB1" w:rsidRPr="00932AB1" w:rsidRDefault="00932AB1" w:rsidP="00932AB1"/>
    <w:p w:rsidR="00932AB1" w:rsidRPr="00932AB1" w:rsidRDefault="00932AB1" w:rsidP="00932AB1"/>
    <w:p w:rsidR="00932AB1" w:rsidRPr="00932AB1" w:rsidRDefault="00932AB1" w:rsidP="00932AB1"/>
    <w:p w:rsidR="008273A2" w:rsidRPr="00932AB1" w:rsidRDefault="008273A2" w:rsidP="00932AB1"/>
    <w:sectPr w:rsidR="008273A2" w:rsidRPr="00932AB1" w:rsidSect="00206288">
      <w:headerReference w:type="default" r:id="rId17"/>
      <w:pgSz w:w="12240" w:h="15840"/>
      <w:pgMar w:top="1440" w:right="1440" w:bottom="1134" w:left="1440" w:header="0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3DB" w:rsidRDefault="004C63DB" w:rsidP="00A82175">
      <w:pPr>
        <w:spacing w:after="0" w:line="240" w:lineRule="auto"/>
      </w:pPr>
      <w:r>
        <w:separator/>
      </w:r>
    </w:p>
  </w:endnote>
  <w:endnote w:type="continuationSeparator" w:id="0">
    <w:p w:rsidR="004C63DB" w:rsidRDefault="004C63DB" w:rsidP="00A8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3DB" w:rsidRDefault="004C63DB" w:rsidP="00A82175">
      <w:pPr>
        <w:spacing w:after="0" w:line="240" w:lineRule="auto"/>
      </w:pPr>
      <w:r>
        <w:separator/>
      </w:r>
    </w:p>
  </w:footnote>
  <w:footnote w:type="continuationSeparator" w:id="0">
    <w:p w:rsidR="004C63DB" w:rsidRDefault="004C63DB" w:rsidP="00A8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47AB" w:rsidRDefault="00D647AB">
    <w:pPr>
      <w:pStyle w:val="Header"/>
    </w:pPr>
  </w:p>
  <w:p w:rsidR="00D647AB" w:rsidRDefault="00D647AB">
    <w:pPr>
      <w:pStyle w:val="Header"/>
    </w:pPr>
  </w:p>
  <w:p w:rsidR="00D647AB" w:rsidRDefault="00D647AB">
    <w:pPr>
      <w:pStyle w:val="Header"/>
    </w:pPr>
  </w:p>
  <w:p w:rsidR="00D647AB" w:rsidRDefault="00D647AB">
    <w:pPr>
      <w:pStyle w:val="Header"/>
    </w:pPr>
  </w:p>
  <w:p w:rsidR="00D647AB" w:rsidRDefault="00D64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5C7"/>
    <w:rsid w:val="00013425"/>
    <w:rsid w:val="00032216"/>
    <w:rsid w:val="00080DB5"/>
    <w:rsid w:val="000939AE"/>
    <w:rsid w:val="000B5D00"/>
    <w:rsid w:val="001100E9"/>
    <w:rsid w:val="00113A16"/>
    <w:rsid w:val="00122469"/>
    <w:rsid w:val="00147FF8"/>
    <w:rsid w:val="001514E8"/>
    <w:rsid w:val="00154F6E"/>
    <w:rsid w:val="00174084"/>
    <w:rsid w:val="00192C4E"/>
    <w:rsid w:val="00193DBA"/>
    <w:rsid w:val="001E4AB9"/>
    <w:rsid w:val="002046F5"/>
    <w:rsid w:val="0020540E"/>
    <w:rsid w:val="00206288"/>
    <w:rsid w:val="00222DE8"/>
    <w:rsid w:val="002310FA"/>
    <w:rsid w:val="002659B0"/>
    <w:rsid w:val="002855C7"/>
    <w:rsid w:val="002E59CD"/>
    <w:rsid w:val="003034D4"/>
    <w:rsid w:val="00305004"/>
    <w:rsid w:val="00313CF5"/>
    <w:rsid w:val="0035188C"/>
    <w:rsid w:val="0035213C"/>
    <w:rsid w:val="003B4944"/>
    <w:rsid w:val="003B52BE"/>
    <w:rsid w:val="003F318C"/>
    <w:rsid w:val="004070DC"/>
    <w:rsid w:val="00412178"/>
    <w:rsid w:val="0042089B"/>
    <w:rsid w:val="00452D0F"/>
    <w:rsid w:val="0046370D"/>
    <w:rsid w:val="00497850"/>
    <w:rsid w:val="004C4F3F"/>
    <w:rsid w:val="004C63DB"/>
    <w:rsid w:val="00502584"/>
    <w:rsid w:val="00560FA4"/>
    <w:rsid w:val="00564C90"/>
    <w:rsid w:val="005705BD"/>
    <w:rsid w:val="00661EB1"/>
    <w:rsid w:val="00663DBB"/>
    <w:rsid w:val="006675CF"/>
    <w:rsid w:val="00687B92"/>
    <w:rsid w:val="006E4647"/>
    <w:rsid w:val="006E6BF6"/>
    <w:rsid w:val="00746229"/>
    <w:rsid w:val="0078533F"/>
    <w:rsid w:val="007C4343"/>
    <w:rsid w:val="007D33DF"/>
    <w:rsid w:val="007E256E"/>
    <w:rsid w:val="008273A2"/>
    <w:rsid w:val="0086220F"/>
    <w:rsid w:val="00866BF8"/>
    <w:rsid w:val="00895B03"/>
    <w:rsid w:val="008A6609"/>
    <w:rsid w:val="008B1055"/>
    <w:rsid w:val="008F5CA8"/>
    <w:rsid w:val="009105D3"/>
    <w:rsid w:val="00922C8B"/>
    <w:rsid w:val="009303D9"/>
    <w:rsid w:val="00932AB1"/>
    <w:rsid w:val="009527A8"/>
    <w:rsid w:val="009C1653"/>
    <w:rsid w:val="009C21C8"/>
    <w:rsid w:val="009C576F"/>
    <w:rsid w:val="009D230D"/>
    <w:rsid w:val="009E6213"/>
    <w:rsid w:val="009F66F4"/>
    <w:rsid w:val="009F6DAE"/>
    <w:rsid w:val="00A065EB"/>
    <w:rsid w:val="00A1259C"/>
    <w:rsid w:val="00A15ED3"/>
    <w:rsid w:val="00A37C33"/>
    <w:rsid w:val="00A5799B"/>
    <w:rsid w:val="00A82175"/>
    <w:rsid w:val="00A93AB1"/>
    <w:rsid w:val="00AA1E77"/>
    <w:rsid w:val="00AB6163"/>
    <w:rsid w:val="00AE5A09"/>
    <w:rsid w:val="00B271E2"/>
    <w:rsid w:val="00B31DA3"/>
    <w:rsid w:val="00B4459A"/>
    <w:rsid w:val="00BB3BC2"/>
    <w:rsid w:val="00BC10DE"/>
    <w:rsid w:val="00BD794F"/>
    <w:rsid w:val="00C23CBD"/>
    <w:rsid w:val="00C36463"/>
    <w:rsid w:val="00C55CB8"/>
    <w:rsid w:val="00C6388F"/>
    <w:rsid w:val="00D44C91"/>
    <w:rsid w:val="00D46BDA"/>
    <w:rsid w:val="00D517BE"/>
    <w:rsid w:val="00D647AB"/>
    <w:rsid w:val="00D71058"/>
    <w:rsid w:val="00D72C7C"/>
    <w:rsid w:val="00D84D49"/>
    <w:rsid w:val="00D953E4"/>
    <w:rsid w:val="00DA68BB"/>
    <w:rsid w:val="00DC2F5E"/>
    <w:rsid w:val="00E15423"/>
    <w:rsid w:val="00E27E13"/>
    <w:rsid w:val="00E403E9"/>
    <w:rsid w:val="00EB4DEA"/>
    <w:rsid w:val="00ED7B30"/>
    <w:rsid w:val="00EF2D4C"/>
    <w:rsid w:val="00F652D3"/>
    <w:rsid w:val="00F7305C"/>
    <w:rsid w:val="00F77883"/>
    <w:rsid w:val="00FC0667"/>
    <w:rsid w:val="00FC7BDE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."/>
  <w:listSeparator w:val=","/>
  <w14:docId w14:val="647F113B"/>
  <w15:docId w15:val="{AF500313-AA73-4E88-A588-72F263F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75"/>
  </w:style>
  <w:style w:type="paragraph" w:styleId="Footer">
    <w:name w:val="footer"/>
    <w:basedOn w:val="Normal"/>
    <w:link w:val="FooterChar"/>
    <w:uiPriority w:val="99"/>
    <w:unhideWhenUsed/>
    <w:rsid w:val="00A82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75"/>
  </w:style>
  <w:style w:type="table" w:styleId="LightList-Accent1">
    <w:name w:val="Light List Accent 1"/>
    <w:basedOn w:val="TableNormal"/>
    <w:uiPriority w:val="61"/>
    <w:rsid w:val="008B105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GROSS PROFIT 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112343</c:v>
                </c:pt>
                <c:pt idx="1">
                  <c:v>223437.46</c:v>
                </c:pt>
                <c:pt idx="2">
                  <c:v>172753.6</c:v>
                </c:pt>
                <c:pt idx="3">
                  <c:v>149091.84999999998</c:v>
                </c:pt>
                <c:pt idx="4">
                  <c:v>126389</c:v>
                </c:pt>
                <c:pt idx="5">
                  <c:v>112023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66-48A3-91BB-8FD414BF835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GROSS PROFIT RATIO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Sheet1!$C$2:$C$7</c:f>
            </c:numRef>
          </c:val>
          <c:extLst>
            <c:ext xmlns:c16="http://schemas.microsoft.com/office/drawing/2014/chart" uri="{C3380CC4-5D6E-409C-BE32-E72D297353CC}">
              <c16:uniqueId val="{00000001-B466-48A3-91BB-8FD414BF83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9906048"/>
        <c:axId val="139912704"/>
        <c:axId val="0"/>
      </c:bar3DChart>
      <c:catAx>
        <c:axId val="13990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912704"/>
        <c:crosses val="autoZero"/>
        <c:auto val="1"/>
        <c:lblAlgn val="ctr"/>
        <c:lblOffset val="100"/>
        <c:noMultiLvlLbl val="0"/>
      </c:catAx>
      <c:valAx>
        <c:axId val="13991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906048"/>
        <c:crosses val="autoZero"/>
        <c:crossBetween val="between"/>
      </c:valAx>
      <c:spPr>
        <a:solidFill>
          <a:schemeClr val="accent5">
            <a:lumMod val="60000"/>
            <a:lumOff val="4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dk1"/>
                </a:solidFill>
                <a:latin typeface="+mn-lt"/>
                <a:ea typeface="+mn-ea"/>
                <a:cs typeface="+mn-cs"/>
              </a:rPr>
              <a:t>NET PROFIT</a:t>
            </a:r>
            <a:endParaRPr lang="en-US"/>
          </a:p>
        </c:rich>
      </c:tx>
      <c:layout>
        <c:manualLayout>
          <c:xMode val="edge"/>
          <c:yMode val="edge"/>
          <c:x val="0.463027236349555"/>
          <c:y val="0"/>
        </c:manualLayout>
      </c:layout>
      <c:overlay val="0"/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title>
    <c:autoTitleDeleted val="0"/>
    <c:plotArea>
      <c:layout>
        <c:manualLayout>
          <c:layoutTarget val="inner"/>
          <c:xMode val="edge"/>
          <c:yMode val="edge"/>
          <c:x val="0.15122585086700249"/>
          <c:y val="9.3438241296205996E-2"/>
          <c:w val="0.54399931156146464"/>
          <c:h val="0.840108001382569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NET PROFIT OF SBI ( CRORE)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-6547</c:v>
                </c:pt>
                <c:pt idx="1">
                  <c:v>862.23</c:v>
                </c:pt>
                <c:pt idx="2">
                  <c:v>14488.11</c:v>
                </c:pt>
                <c:pt idx="3">
                  <c:v>20410.47</c:v>
                </c:pt>
                <c:pt idx="4">
                  <c:v>31675.980000000018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9F-41C0-A8C5-6CE680D207E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NET PROFIT OF CANARA BANK 9 CRORE)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-4222.24</c:v>
                </c:pt>
                <c:pt idx="1">
                  <c:v>347.71999999999974</c:v>
                </c:pt>
                <c:pt idx="2">
                  <c:v>-2235.7199999999998</c:v>
                </c:pt>
                <c:pt idx="3">
                  <c:v>2557.58</c:v>
                </c:pt>
                <c:pt idx="4">
                  <c:v>5687.42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9F-41C0-A8C5-6CE680D20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30784"/>
        <c:axId val="141432320"/>
      </c:barChart>
      <c:catAx>
        <c:axId val="141430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1432320"/>
        <c:crosses val="autoZero"/>
        <c:auto val="1"/>
        <c:lblAlgn val="ctr"/>
        <c:lblOffset val="100"/>
        <c:noMultiLvlLbl val="0"/>
      </c:catAx>
      <c:valAx>
        <c:axId val="141432320"/>
        <c:scaling>
          <c:orientation val="minMax"/>
        </c:scaling>
        <c:delete val="0"/>
        <c:axPos val="l"/>
        <c:majorGridlines>
          <c:spPr>
            <a:ln w="38100" cap="flat" cmpd="sng" algn="ctr">
              <a:solidFill>
                <a:schemeClr val="accent1"/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crossAx val="141430784"/>
        <c:crosses val="autoZero"/>
        <c:crossBetween val="between"/>
      </c:valAx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  <c:layout>
        <c:manualLayout>
          <c:xMode val="edge"/>
          <c:yMode val="edge"/>
          <c:x val="0.65972704140643068"/>
          <c:y val="0.35727213504786726"/>
          <c:w val="0.34027295859356926"/>
          <c:h val="0.21702033648671615"/>
        </c:manualLayout>
      </c:layout>
      <c:overlay val="0"/>
      <c:spPr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noFill/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GROSS PROFIT RATIO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6.9</c:v>
                </c:pt>
                <c:pt idx="1">
                  <c:v>10.91</c:v>
                </c:pt>
                <c:pt idx="2">
                  <c:v>8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F7-414C-A0CE-0C93A892B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355264"/>
        <c:axId val="139863168"/>
        <c:axId val="0"/>
      </c:bar3DChart>
      <c:catAx>
        <c:axId val="141355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63168"/>
        <c:crosses val="autoZero"/>
        <c:auto val="1"/>
        <c:lblAlgn val="ctr"/>
        <c:lblOffset val="100"/>
        <c:noMultiLvlLbl val="0"/>
      </c:catAx>
      <c:valAx>
        <c:axId val="139863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35526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4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layout>
        <c:manualLayout>
          <c:xMode val="edge"/>
          <c:yMode val="edge"/>
          <c:x val="0.397297499270925"/>
          <c:y val="3.968253968253968E-2"/>
        </c:manualLayout>
      </c:layout>
      <c:overlay val="0"/>
      <c:spPr>
        <a:solidFill>
          <a:schemeClr val="tx2">
            <a:lumMod val="40000"/>
            <a:lumOff val="60000"/>
          </a:schemeClr>
        </a:solidFill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NET NPA 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58277</c:v>
                </c:pt>
                <c:pt idx="1">
                  <c:v>110584.7</c:v>
                </c:pt>
                <c:pt idx="2">
                  <c:v>658947.4</c:v>
                </c:pt>
                <c:pt idx="3">
                  <c:v>51871.3</c:v>
                </c:pt>
                <c:pt idx="4">
                  <c:v>36809.719999999994</c:v>
                </c:pt>
                <c:pt idx="5">
                  <c:v>27965.71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C6-45A3-A6D8-B634094ADD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895168"/>
        <c:axId val="139896704"/>
      </c:barChart>
      <c:catAx>
        <c:axId val="139895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96704"/>
        <c:crosses val="autoZero"/>
        <c:auto val="1"/>
        <c:lblAlgn val="ctr"/>
        <c:lblOffset val="100"/>
        <c:noMultiLvlLbl val="0"/>
      </c:catAx>
      <c:valAx>
        <c:axId val="13989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895168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="1"/>
              <a:t>NET NPA RATIO</a:t>
            </a:r>
          </a:p>
        </c:rich>
      </c:tx>
      <c:layout>
        <c:manualLayout>
          <c:xMode val="edge"/>
          <c:yMode val="edge"/>
          <c:x val="0.35147564887722382"/>
          <c:y val="1.9841269841269868E-2"/>
        </c:manualLayout>
      </c:layout>
      <c:overlay val="0"/>
      <c:spPr>
        <a:solidFill>
          <a:schemeClr val="accent2">
            <a:lumMod val="60000"/>
            <a:lumOff val="40000"/>
          </a:schemeClr>
        </a:solidFill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NET NPA RATIO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3.71</c:v>
                </c:pt>
                <c:pt idx="1">
                  <c:v>5.73</c:v>
                </c:pt>
                <c:pt idx="2">
                  <c:v>3.01</c:v>
                </c:pt>
                <c:pt idx="3">
                  <c:v>2.23</c:v>
                </c:pt>
                <c:pt idx="4">
                  <c:v>1.5</c:v>
                </c:pt>
                <c:pt idx="5">
                  <c:v>1.02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F6-4359-8ECE-F9294BB34A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20896"/>
        <c:axId val="139922432"/>
      </c:barChart>
      <c:catAx>
        <c:axId val="1399208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9922432"/>
        <c:crosses val="autoZero"/>
        <c:auto val="1"/>
        <c:lblAlgn val="ctr"/>
        <c:lblOffset val="100"/>
        <c:noMultiLvlLbl val="0"/>
      </c:catAx>
      <c:valAx>
        <c:axId val="1399224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9920896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2">
            <a:tint val="50000"/>
            <a:satMod val="300000"/>
          </a:schemeClr>
        </a:gs>
        <a:gs pos="35000">
          <a:schemeClr val="accent2">
            <a:tint val="37000"/>
            <a:satMod val="300000"/>
          </a:schemeClr>
        </a:gs>
        <a:gs pos="100000">
          <a:schemeClr val="accent2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2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layout>
        <c:manualLayout>
          <c:xMode val="edge"/>
          <c:yMode val="edge"/>
          <c:x val="0.31982629775444843"/>
          <c:y val="1.9841269841269861E-2"/>
        </c:manualLayout>
      </c:layout>
      <c:overlay val="0"/>
      <c:spPr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c:spPr>
      <c:txPr>
        <a:bodyPr/>
        <a:lstStyle/>
        <a:p>
          <a:pPr>
            <a:defRPr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GROSS NPA (CRORE)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2012-22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34202.04</c:v>
                </c:pt>
                <c:pt idx="1">
                  <c:v>47468.47</c:v>
                </c:pt>
                <c:pt idx="2">
                  <c:v>39224.119999999995</c:v>
                </c:pt>
                <c:pt idx="3">
                  <c:v>37014.15</c:v>
                </c:pt>
                <c:pt idx="4">
                  <c:v>60287.840000000011</c:v>
                </c:pt>
                <c:pt idx="5">
                  <c:v>55651.58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53-4374-99E4-624512EA2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118025216"/>
        <c:axId val="121189120"/>
        <c:axId val="0"/>
      </c:bar3DChart>
      <c:catAx>
        <c:axId val="118025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189120"/>
        <c:crosses val="autoZero"/>
        <c:auto val="1"/>
        <c:lblAlgn val="ctr"/>
        <c:lblOffset val="100"/>
        <c:noMultiLvlLbl val="0"/>
      </c:catAx>
      <c:valAx>
        <c:axId val="121189120"/>
        <c:scaling>
          <c:orientation val="minMax"/>
        </c:scaling>
        <c:delete val="0"/>
        <c:axPos val="l"/>
        <c:majorGridlines>
          <c:spPr>
            <a:ln w="25400" cap="flat" cmpd="sng" algn="ctr">
              <a:solidFill>
                <a:schemeClr val="accent3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crossAx val="118025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noFill/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sideWall>
    <c:backWall>
      <c:thickness val="0"/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backWall>
    <c:plotArea>
      <c:layout>
        <c:manualLayout>
          <c:layoutTarget val="inner"/>
          <c:xMode val="edge"/>
          <c:yMode val="edge"/>
          <c:x val="6.6934784193642474E-2"/>
          <c:y val="5.5962379702537181E-2"/>
          <c:w val="0.91454669728783899"/>
          <c:h val="0.760963942007248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GROSS NPA RATIO)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9.629999999999999</c:v>
                </c:pt>
                <c:pt idx="1">
                  <c:v>11.84</c:v>
                </c:pt>
                <c:pt idx="2">
                  <c:v>8.83</c:v>
                </c:pt>
                <c:pt idx="3">
                  <c:v>8.2100000000000009</c:v>
                </c:pt>
                <c:pt idx="4">
                  <c:v>8.93</c:v>
                </c:pt>
                <c:pt idx="5">
                  <c:v>7.51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AF-4A51-9E3A-63DA144A87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one"/>
        <c:axId val="140431360"/>
        <c:axId val="140432896"/>
        <c:axId val="0"/>
      </c:bar3DChart>
      <c:catAx>
        <c:axId val="140431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0432896"/>
        <c:crosses val="autoZero"/>
        <c:auto val="1"/>
        <c:lblAlgn val="ctr"/>
        <c:lblOffset val="100"/>
        <c:noMultiLvlLbl val="0"/>
      </c:catAx>
      <c:valAx>
        <c:axId val="140432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404313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overlay val="0"/>
      <c:spPr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c:spPr>
      <c:txPr>
        <a:bodyPr/>
        <a:lstStyle/>
        <a:p>
          <a:pPr>
            <a:defRPr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624599008457492E-2"/>
          <c:y val="0.18681571053618318"/>
          <c:w val="0.74307797462817282"/>
          <c:h val="0.73361423572053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NET NPA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21648.980000000021</c:v>
                </c:pt>
                <c:pt idx="1">
                  <c:v>28542.400000000001</c:v>
                </c:pt>
                <c:pt idx="2">
                  <c:v>22955.109999999942</c:v>
                </c:pt>
                <c:pt idx="3">
                  <c:v>18250.95</c:v>
                </c:pt>
                <c:pt idx="4">
                  <c:v>24442.07</c:v>
                </c:pt>
                <c:pt idx="5">
                  <c:v>18668.02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09-4F31-9A6A-FBD506E06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178368"/>
        <c:axId val="141179904"/>
      </c:barChart>
      <c:catAx>
        <c:axId val="141178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179904"/>
        <c:crosses val="autoZero"/>
        <c:auto val="1"/>
        <c:lblAlgn val="ctr"/>
        <c:lblOffset val="100"/>
        <c:noMultiLvlLbl val="0"/>
      </c:catAx>
      <c:valAx>
        <c:axId val="141179904"/>
        <c:scaling>
          <c:orientation val="minMax"/>
        </c:scaling>
        <c:delete val="0"/>
        <c:axPos val="l"/>
        <c:majorGridlines>
          <c:spPr>
            <a:ln w="38100" cap="flat" cmpd="sng" algn="ctr">
              <a:solidFill>
                <a:schemeClr val="accent4"/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crossAx val="141178368"/>
        <c:crosses val="autoZero"/>
        <c:crossBetween val="between"/>
      </c:valAx>
      <c:spPr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noFill/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title>
      <c:tx>
        <c:rich>
          <a:bodyPr/>
          <a:lstStyle/>
          <a:p>
            <a:pPr>
              <a:defRPr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lt1"/>
                </a:solidFill>
                <a:latin typeface="+mn-lt"/>
                <a:ea typeface="+mn-ea"/>
                <a:cs typeface="+mn-cs"/>
              </a:rPr>
              <a:t>NET NPA (RATIO)</a:t>
            </a:r>
            <a:endParaRPr lang="en-US"/>
          </a:p>
        </c:rich>
      </c:tx>
      <c:overlay val="0"/>
      <c:spPr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NET NPA (RATIO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  <c:pt idx="5">
                  <c:v>2021-2022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6.33</c:v>
                </c:pt>
                <c:pt idx="1">
                  <c:v>7.48</c:v>
                </c:pt>
                <c:pt idx="2">
                  <c:v>5.37</c:v>
                </c:pt>
                <c:pt idx="3">
                  <c:v>4.22</c:v>
                </c:pt>
                <c:pt idx="4">
                  <c:v>3.82</c:v>
                </c:pt>
                <c:pt idx="5">
                  <c:v>2.65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1-4A03-8FBA-4CC011E9B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1196288"/>
        <c:axId val="127705856"/>
        <c:axId val="0"/>
      </c:bar3DChart>
      <c:catAx>
        <c:axId val="14119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705856"/>
        <c:crosses val="autoZero"/>
        <c:auto val="1"/>
        <c:lblAlgn val="ctr"/>
        <c:lblOffset val="100"/>
        <c:noMultiLvlLbl val="0"/>
      </c:catAx>
      <c:valAx>
        <c:axId val="127705856"/>
        <c:scaling>
          <c:orientation val="minMax"/>
        </c:scaling>
        <c:delete val="0"/>
        <c:axPos val="l"/>
        <c:majorGridlines>
          <c:spPr>
            <a:ln w="38100" cap="flat" cmpd="sng" algn="ctr">
              <a:solidFill>
                <a:schemeClr val="accent1"/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crossAx val="141196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lumMod val="5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sideWall>
    <c:backWall>
      <c:thickness val="0"/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lumMod val="5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ADVANCES OF SBI( CRORE)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2016-17</c:v>
                </c:pt>
                <c:pt idx="1">
                  <c:v>2017-18</c:v>
                </c:pt>
                <c:pt idx="2">
                  <c:v>2018-19</c:v>
                </c:pt>
                <c:pt idx="3">
                  <c:v>2019-20</c:v>
                </c:pt>
                <c:pt idx="4">
                  <c:v>2020-21</c:v>
                </c:pt>
                <c:pt idx="5">
                  <c:v>2021-22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1571078</c:v>
                </c:pt>
                <c:pt idx="1">
                  <c:v>1934880</c:v>
                </c:pt>
                <c:pt idx="2">
                  <c:v>2185877</c:v>
                </c:pt>
                <c:pt idx="3">
                  <c:v>2325290</c:v>
                </c:pt>
                <c:pt idx="4">
                  <c:v>2449497.79</c:v>
                </c:pt>
                <c:pt idx="5">
                  <c:v>2733966.59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B4-46EE-BA0D-09F02A7B05E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ADVANCES OF CANARA BANK ( CRORE)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2016-17</c:v>
                </c:pt>
                <c:pt idx="1">
                  <c:v>2017-18</c:v>
                </c:pt>
                <c:pt idx="2">
                  <c:v>2018-19</c:v>
                </c:pt>
                <c:pt idx="3">
                  <c:v>2019-20</c:v>
                </c:pt>
                <c:pt idx="4">
                  <c:v>2020-21</c:v>
                </c:pt>
                <c:pt idx="5">
                  <c:v>2021-22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342008.76</c:v>
                </c:pt>
                <c:pt idx="1">
                  <c:v>381702.99000000022</c:v>
                </c:pt>
                <c:pt idx="2">
                  <c:v>427727.27</c:v>
                </c:pt>
                <c:pt idx="3">
                  <c:v>432175.2</c:v>
                </c:pt>
                <c:pt idx="4">
                  <c:v>639048.99</c:v>
                </c:pt>
                <c:pt idx="5">
                  <c:v>703601.82000000041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B4-46EE-BA0D-09F02A7B05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41367552"/>
        <c:axId val="141381632"/>
        <c:axId val="0"/>
      </c:bar3DChart>
      <c:catAx>
        <c:axId val="141367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1381632"/>
        <c:crosses val="autoZero"/>
        <c:auto val="1"/>
        <c:lblAlgn val="ctr"/>
        <c:lblOffset val="100"/>
        <c:noMultiLvlLbl val="0"/>
      </c:catAx>
      <c:valAx>
        <c:axId val="14138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41367552"/>
        <c:crosses val="autoZero"/>
        <c:crossBetween val="between"/>
      </c:valAx>
      <c:spPr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b"/>
      <c:overlay val="0"/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noFill/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0.38773</cdr:x>
      <cdr:y>0.12302</cdr:y>
    </cdr:from>
    <cdr:to>
      <cdr:x>0.78125</cdr:x>
      <cdr:y>0.25794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27250" y="393700"/>
          <a:ext cx="2159000" cy="431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0.37649</cdr:x>
      <cdr:y>0.04705</cdr:y>
    </cdr:from>
    <cdr:to>
      <cdr:x>0.68006</cdr:x>
      <cdr:y>0.17687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65564" y="150586"/>
          <a:ext cx="1665514" cy="415471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5">
            <a:lumMod val="60000"/>
            <a:lumOff val="40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2000" b="1" u="sng"/>
            <a:t>GROSS NPA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0.3206</cdr:x>
      <cdr:y>0.03401</cdr:y>
    </cdr:from>
    <cdr:to>
      <cdr:x>0.67808</cdr:x>
      <cdr:y>0.16667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58950" y="108857"/>
          <a:ext cx="1961243" cy="424543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4">
            <a:lumMod val="60000"/>
            <a:lumOff val="40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800" b="1" u="sng"/>
            <a:t>GROSS NPA RATIO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0.48681</cdr:x>
      <cdr:y>0.00683</cdr:y>
    </cdr:from>
    <cdr:to>
      <cdr:x>0.81298</cdr:x>
      <cdr:y>0.16392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29593" y="21771"/>
          <a:ext cx="1828800" cy="5007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373EA-308F-4760-A392-B2518BD0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Moumita Sarkar</cp:lastModifiedBy>
  <cp:revision>22</cp:revision>
  <cp:lastPrinted>2023-04-30T15:53:00Z</cp:lastPrinted>
  <dcterms:created xsi:type="dcterms:W3CDTF">2023-05-06T14:44:00Z</dcterms:created>
  <dcterms:modified xsi:type="dcterms:W3CDTF">2023-05-07T07:12:00Z</dcterms:modified>
</cp:coreProperties>
</file>